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7AE65" w14:textId="76226A00" w:rsidR="003E5590" w:rsidRPr="00316D6A" w:rsidRDefault="003E5590" w:rsidP="00015891">
      <w:pPr>
        <w:spacing w:after="0"/>
        <w:rPr>
          <w:b/>
          <w:bCs/>
        </w:rPr>
      </w:pPr>
      <w:r w:rsidRPr="00316D6A">
        <w:rPr>
          <w:b/>
          <w:bCs/>
        </w:rPr>
        <w:t>Visual Arts in Context</w:t>
      </w:r>
      <w:r w:rsidR="00AF11CD">
        <w:rPr>
          <w:b/>
          <w:bCs/>
        </w:rPr>
        <w:t>: Essa</w:t>
      </w:r>
      <w:r w:rsidR="00015891">
        <w:rPr>
          <w:b/>
          <w:bCs/>
        </w:rPr>
        <w:t>y</w:t>
      </w:r>
    </w:p>
    <w:p w14:paraId="47DD50BB" w14:textId="7EE90BEE" w:rsidR="003E5590" w:rsidRPr="00B7152A" w:rsidRDefault="003E5590" w:rsidP="00F03DA0">
      <w:pPr>
        <w:spacing w:after="0"/>
        <w:rPr>
          <w:b/>
          <w:bCs/>
        </w:rPr>
      </w:pPr>
      <w:r w:rsidRPr="00B7152A">
        <w:rPr>
          <w:b/>
          <w:bCs/>
        </w:rPr>
        <w:t>Hilary Coombs</w:t>
      </w:r>
    </w:p>
    <w:p w14:paraId="76C2D4E4" w14:textId="77777777" w:rsidR="00316D6A" w:rsidRDefault="00316D6A" w:rsidP="00772969">
      <w:pPr>
        <w:jc w:val="both"/>
        <w:rPr>
          <w:b/>
          <w:bCs/>
        </w:rPr>
      </w:pPr>
    </w:p>
    <w:p w14:paraId="7A2BCFD8" w14:textId="23F2CF26" w:rsidR="00877D99" w:rsidRDefault="00F27A8F" w:rsidP="00772969">
      <w:pPr>
        <w:jc w:val="both"/>
      </w:pPr>
      <w:r>
        <w:t>Having seen the image below</w:t>
      </w:r>
      <w:r w:rsidR="00A55BAC">
        <w:t xml:space="preserve"> left</w:t>
      </w:r>
      <w:r>
        <w:t xml:space="preserve"> </w:t>
      </w:r>
      <w:r w:rsidR="001D67AA">
        <w:t xml:space="preserve">some time </w:t>
      </w:r>
      <w:r w:rsidR="00A55BAC">
        <w:t xml:space="preserve">before </w:t>
      </w:r>
      <w:r w:rsidR="002F69E7">
        <w:t xml:space="preserve">she </w:t>
      </w:r>
      <w:r w:rsidR="001D67AA">
        <w:t>saw</w:t>
      </w:r>
      <w:r w:rsidR="002F69E7">
        <w:t xml:space="preserve"> </w:t>
      </w:r>
      <w:r>
        <w:t xml:space="preserve">the </w:t>
      </w:r>
      <w:r w:rsidR="00A55BAC">
        <w:t>image below right</w:t>
      </w:r>
      <w:r>
        <w:t xml:space="preserve">, </w:t>
      </w:r>
      <w:r w:rsidR="00DE5D97">
        <w:t>an a</w:t>
      </w:r>
      <w:r w:rsidR="00364C07">
        <w:t>c</w:t>
      </w:r>
      <w:r w:rsidR="00DE5D97">
        <w:t xml:space="preserve">quaintance commented </w:t>
      </w:r>
      <w:r w:rsidR="00E436CA">
        <w:t xml:space="preserve">that I had ‘really come on a lot’ </w:t>
      </w:r>
      <w:r w:rsidR="00D71E42">
        <w:t>in the Creative Skills Development course</w:t>
      </w:r>
      <w:r w:rsidR="00E436CA">
        <w:t xml:space="preserve">. I did not tell </w:t>
      </w:r>
      <w:r w:rsidR="00D352C5">
        <w:t xml:space="preserve">her </w:t>
      </w:r>
      <w:r w:rsidR="00E436CA">
        <w:t xml:space="preserve">that the </w:t>
      </w:r>
      <w:r w:rsidR="00FD249E">
        <w:t xml:space="preserve">drawing </w:t>
      </w:r>
      <w:r w:rsidR="006402C8">
        <w:t xml:space="preserve">on the right </w:t>
      </w:r>
      <w:r w:rsidR="00E436CA">
        <w:t xml:space="preserve">had actually been made long before the one </w:t>
      </w:r>
      <w:r w:rsidR="001D67AA">
        <w:t xml:space="preserve">on the left </w:t>
      </w:r>
      <w:r w:rsidR="00E436CA">
        <w:t xml:space="preserve">and that </w:t>
      </w:r>
      <w:r w:rsidR="00822630">
        <w:t xml:space="preserve">I considered </w:t>
      </w:r>
      <w:r w:rsidR="003C7AC0">
        <w:t xml:space="preserve">the </w:t>
      </w:r>
      <w:r w:rsidR="00563FE0">
        <w:t xml:space="preserve">spiral drawing </w:t>
      </w:r>
      <w:r w:rsidR="003C7AC0">
        <w:t xml:space="preserve">to </w:t>
      </w:r>
      <w:r w:rsidR="00AA2C49">
        <w:t xml:space="preserve">represent </w:t>
      </w:r>
      <w:r w:rsidR="00877D99">
        <w:t>a major step forward.</w:t>
      </w:r>
      <w:r w:rsidR="00ED021F">
        <w:t xml:space="preserve"> </w:t>
      </w:r>
    </w:p>
    <w:tbl>
      <w:tblPr>
        <w:tblStyle w:val="TableGrid"/>
        <w:tblW w:w="0" w:type="auto"/>
        <w:tblLook w:val="04A0" w:firstRow="1" w:lastRow="0" w:firstColumn="1" w:lastColumn="0" w:noHBand="0" w:noVBand="1"/>
      </w:tblPr>
      <w:tblGrid>
        <w:gridCol w:w="4508"/>
        <w:gridCol w:w="4508"/>
      </w:tblGrid>
      <w:tr w:rsidR="008A2F00" w14:paraId="43F29A52" w14:textId="77777777" w:rsidTr="008A2F00">
        <w:tc>
          <w:tcPr>
            <w:tcW w:w="4508" w:type="dxa"/>
            <w:tcBorders>
              <w:top w:val="nil"/>
              <w:left w:val="nil"/>
              <w:bottom w:val="nil"/>
              <w:right w:val="nil"/>
            </w:tcBorders>
          </w:tcPr>
          <w:p w14:paraId="072CC0F6" w14:textId="385560FB" w:rsidR="008A2F00" w:rsidRDefault="008A2F00" w:rsidP="00772969">
            <w:pPr>
              <w:jc w:val="both"/>
            </w:pPr>
            <w:r>
              <w:rPr>
                <w:noProof/>
              </w:rPr>
              <w:drawing>
                <wp:inline distT="0" distB="0" distL="0" distR="0" wp14:anchorId="3E7643D7" wp14:editId="49746DDF">
                  <wp:extent cx="1734190" cy="1617133"/>
                  <wp:effectExtent l="0" t="0" r="0" b="2540"/>
                  <wp:docPr id="761427716" name="Picture 1" descr="A black circle of scri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27716" name="Picture 1" descr="A black circle of scribb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8563" cy="1630536"/>
                          </a:xfrm>
                          <a:prstGeom prst="rect">
                            <a:avLst/>
                          </a:prstGeom>
                        </pic:spPr>
                      </pic:pic>
                    </a:graphicData>
                  </a:graphic>
                </wp:inline>
              </w:drawing>
            </w:r>
          </w:p>
        </w:tc>
        <w:tc>
          <w:tcPr>
            <w:tcW w:w="4508" w:type="dxa"/>
            <w:tcBorders>
              <w:top w:val="nil"/>
              <w:left w:val="nil"/>
              <w:bottom w:val="nil"/>
              <w:right w:val="nil"/>
            </w:tcBorders>
          </w:tcPr>
          <w:p w14:paraId="5AF35437" w14:textId="46E16E5A" w:rsidR="008A2F00" w:rsidRDefault="008A2F00" w:rsidP="00772969">
            <w:pPr>
              <w:jc w:val="both"/>
            </w:pPr>
            <w:r>
              <w:rPr>
                <w:noProof/>
              </w:rPr>
              <w:drawing>
                <wp:inline distT="0" distB="0" distL="0" distR="0" wp14:anchorId="515354A0" wp14:editId="70B8D322">
                  <wp:extent cx="2182778" cy="1538859"/>
                  <wp:effectExtent l="0" t="0" r="8255" b="4445"/>
                  <wp:docPr id="1" name="Picture 1" descr="A close-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lan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4113" cy="1575050"/>
                          </a:xfrm>
                          <a:prstGeom prst="rect">
                            <a:avLst/>
                          </a:prstGeom>
                          <a:noFill/>
                          <a:ln>
                            <a:noFill/>
                          </a:ln>
                        </pic:spPr>
                      </pic:pic>
                    </a:graphicData>
                  </a:graphic>
                </wp:inline>
              </w:drawing>
            </w:r>
          </w:p>
        </w:tc>
      </w:tr>
    </w:tbl>
    <w:p w14:paraId="339D0718" w14:textId="77777777" w:rsidR="008A2F00" w:rsidRDefault="008A2F00" w:rsidP="00772969">
      <w:pPr>
        <w:jc w:val="both"/>
      </w:pPr>
    </w:p>
    <w:p w14:paraId="4747B577" w14:textId="4F3D79B7" w:rsidR="00486A6F" w:rsidRDefault="00785262" w:rsidP="005D3A91">
      <w:pPr>
        <w:spacing w:after="0"/>
        <w:jc w:val="both"/>
      </w:pPr>
      <w:r>
        <w:t xml:space="preserve">This </w:t>
      </w:r>
      <w:r w:rsidR="004C73ED">
        <w:t xml:space="preserve">started me thinking </w:t>
      </w:r>
      <w:r w:rsidR="00C961A0">
        <w:t xml:space="preserve">about non-representational </w:t>
      </w:r>
      <w:r w:rsidR="00EB49BF">
        <w:t xml:space="preserve">art – and </w:t>
      </w:r>
      <w:r w:rsidR="004B4E4B">
        <w:t xml:space="preserve">abstract </w:t>
      </w:r>
      <w:r w:rsidR="004B5237">
        <w:t xml:space="preserve">art </w:t>
      </w:r>
      <w:r w:rsidR="00EB49BF">
        <w:t xml:space="preserve">in particular </w:t>
      </w:r>
      <w:r w:rsidR="00301039">
        <w:t xml:space="preserve">–still </w:t>
      </w:r>
      <w:r w:rsidR="00845EFA">
        <w:t xml:space="preserve">being </w:t>
      </w:r>
      <w:r w:rsidR="00DD52AC">
        <w:t xml:space="preserve">widely </w:t>
      </w:r>
      <w:r w:rsidR="00301039">
        <w:t xml:space="preserve">regarded </w:t>
      </w:r>
      <w:r w:rsidR="009F2EAB">
        <w:t xml:space="preserve">as </w:t>
      </w:r>
      <w:r w:rsidR="00EF0CC3">
        <w:t xml:space="preserve">something </w:t>
      </w:r>
      <w:r w:rsidR="004B4E4B">
        <w:t xml:space="preserve">a </w:t>
      </w:r>
      <w:r w:rsidR="00E6485F">
        <w:t>five-year-old</w:t>
      </w:r>
      <w:r w:rsidR="004B4E4B">
        <w:t xml:space="preserve"> could </w:t>
      </w:r>
      <w:r w:rsidR="00EF0CC3">
        <w:t>do</w:t>
      </w:r>
      <w:r w:rsidR="00F970EF">
        <w:t>.</w:t>
      </w:r>
      <w:r w:rsidR="00747660">
        <w:rPr>
          <w:rStyle w:val="FootnoteReference"/>
        </w:rPr>
        <w:footnoteReference w:id="1"/>
      </w:r>
      <w:r w:rsidR="00F970EF">
        <w:t xml:space="preserve"> </w:t>
      </w:r>
      <w:r w:rsidR="00602855">
        <w:t xml:space="preserve"> </w:t>
      </w:r>
      <w:r w:rsidR="00486A6F">
        <w:t xml:space="preserve">It also led me to the work of Paul Klee and one particular </w:t>
      </w:r>
      <w:r w:rsidR="002B7A41">
        <w:t xml:space="preserve">painting </w:t>
      </w:r>
      <w:r w:rsidR="00486A6F">
        <w:t>became an inspiration</w:t>
      </w:r>
      <w:r w:rsidR="002B7A41">
        <w:t xml:space="preserve"> </w:t>
      </w:r>
      <w:r w:rsidR="00D85E01">
        <w:t xml:space="preserve">for my own work </w:t>
      </w:r>
      <w:r w:rsidR="000D4C17">
        <w:t>(below right)</w:t>
      </w:r>
      <w:r w:rsidR="00A06AE2">
        <w:t xml:space="preserve">. In this way, </w:t>
      </w:r>
      <w:r w:rsidR="00284968">
        <w:t>art theory and criticism became linked directly to my practice.</w:t>
      </w:r>
    </w:p>
    <w:p w14:paraId="7A2833A2" w14:textId="77777777" w:rsidR="005D3A91" w:rsidRDefault="005D3A91" w:rsidP="00EB6095">
      <w:pPr>
        <w:jc w:val="both"/>
      </w:pPr>
    </w:p>
    <w:tbl>
      <w:tblPr>
        <w:tblStyle w:val="TableGrid"/>
        <w:tblW w:w="0" w:type="auto"/>
        <w:tblLook w:val="04A0" w:firstRow="1" w:lastRow="0" w:firstColumn="1" w:lastColumn="0" w:noHBand="0" w:noVBand="1"/>
      </w:tblPr>
      <w:tblGrid>
        <w:gridCol w:w="4508"/>
        <w:gridCol w:w="4508"/>
      </w:tblGrid>
      <w:tr w:rsidR="002B7A41" w14:paraId="4EE23037" w14:textId="77777777" w:rsidTr="006728C6">
        <w:tc>
          <w:tcPr>
            <w:tcW w:w="4508" w:type="dxa"/>
            <w:tcBorders>
              <w:top w:val="nil"/>
              <w:left w:val="nil"/>
              <w:bottom w:val="nil"/>
              <w:right w:val="nil"/>
            </w:tcBorders>
          </w:tcPr>
          <w:p w14:paraId="347828BC" w14:textId="4937509C" w:rsidR="002B7A41" w:rsidRDefault="002B7A41" w:rsidP="006728C6">
            <w:r>
              <w:rPr>
                <w:noProof/>
              </w:rPr>
              <w:drawing>
                <wp:inline distT="0" distB="0" distL="0" distR="0" wp14:anchorId="6A1C3F0B" wp14:editId="2082CE5E">
                  <wp:extent cx="1545370" cy="2497494"/>
                  <wp:effectExtent l="0" t="0" r="0" b="0"/>
                  <wp:docPr id="229391538" name="Picture 1" descr="A black and white art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91538" name="Picture 1" descr="A black and white art piec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rot="5400000" flipH="1">
                            <a:off x="0" y="0"/>
                            <a:ext cx="1552989" cy="2509806"/>
                          </a:xfrm>
                          <a:prstGeom prst="rect">
                            <a:avLst/>
                          </a:prstGeom>
                        </pic:spPr>
                      </pic:pic>
                    </a:graphicData>
                  </a:graphic>
                </wp:inline>
              </w:drawing>
            </w:r>
          </w:p>
        </w:tc>
        <w:tc>
          <w:tcPr>
            <w:tcW w:w="4508" w:type="dxa"/>
            <w:tcBorders>
              <w:top w:val="nil"/>
              <w:left w:val="nil"/>
              <w:bottom w:val="nil"/>
              <w:right w:val="nil"/>
            </w:tcBorders>
          </w:tcPr>
          <w:p w14:paraId="00BF8872" w14:textId="29625DEC" w:rsidR="002B7A41" w:rsidRDefault="002B7A41" w:rsidP="006728C6">
            <w:pPr>
              <w:jc w:val="center"/>
            </w:pPr>
            <w:r>
              <w:rPr>
                <w:noProof/>
              </w:rPr>
              <w:drawing>
                <wp:inline distT="0" distB="0" distL="0" distR="0" wp14:anchorId="3DB9E8BF" wp14:editId="02A58EC1">
                  <wp:extent cx="1563385" cy="1577589"/>
                  <wp:effectExtent l="0" t="0" r="0" b="3810"/>
                  <wp:docPr id="1852736412" name="Picture 2" descr="A group of black lines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36412" name="Picture 2" descr="A group of black lines on a white surfac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1597641" cy="1612156"/>
                          </a:xfrm>
                          <a:prstGeom prst="rect">
                            <a:avLst/>
                          </a:prstGeom>
                        </pic:spPr>
                      </pic:pic>
                    </a:graphicData>
                  </a:graphic>
                </wp:inline>
              </w:drawing>
            </w:r>
          </w:p>
        </w:tc>
      </w:tr>
    </w:tbl>
    <w:p w14:paraId="01A4C7E0" w14:textId="45C97925" w:rsidR="002B7A41" w:rsidRPr="000D4C17" w:rsidRDefault="006728C6" w:rsidP="00EB6095">
      <w:pPr>
        <w:jc w:val="both"/>
        <w:rPr>
          <w:i/>
          <w:iCs/>
          <w:sz w:val="20"/>
          <w:szCs w:val="20"/>
        </w:rPr>
      </w:pPr>
      <w:r w:rsidRPr="000D4C17">
        <w:rPr>
          <w:sz w:val="20"/>
          <w:szCs w:val="20"/>
        </w:rPr>
        <w:t xml:space="preserve">Paul Klee </w:t>
      </w:r>
      <w:r w:rsidR="000D4C17" w:rsidRPr="000D4C17">
        <w:rPr>
          <w:sz w:val="20"/>
          <w:szCs w:val="20"/>
        </w:rPr>
        <w:t xml:space="preserve">(1932) </w:t>
      </w:r>
      <w:r w:rsidR="000D4C17" w:rsidRPr="000D4C17">
        <w:rPr>
          <w:i/>
          <w:iCs/>
          <w:sz w:val="20"/>
          <w:szCs w:val="20"/>
        </w:rPr>
        <w:t>Spiral Screw Flowers</w:t>
      </w:r>
    </w:p>
    <w:p w14:paraId="1D92D478" w14:textId="56DC8058" w:rsidR="00554FBA" w:rsidRDefault="00625857" w:rsidP="00EB6095">
      <w:pPr>
        <w:jc w:val="both"/>
      </w:pPr>
      <w:r>
        <w:t>A</w:t>
      </w:r>
      <w:r w:rsidR="00C2226C">
        <w:t xml:space="preserve">bstraction </w:t>
      </w:r>
      <w:r w:rsidR="001A208C">
        <w:t xml:space="preserve">as a distinct  movement first </w:t>
      </w:r>
      <w:r w:rsidR="00C2226C">
        <w:t>appeared in the early twentieth century</w:t>
      </w:r>
      <w:r w:rsidR="00AA052F">
        <w:t xml:space="preserve"> -</w:t>
      </w:r>
      <w:r w:rsidR="00DB37BF">
        <w:t xml:space="preserve"> </w:t>
      </w:r>
      <w:r w:rsidR="008E62EE">
        <w:t>most explicitly</w:t>
      </w:r>
      <w:r w:rsidR="00DB37BF">
        <w:t xml:space="preserve"> in the work of </w:t>
      </w:r>
      <w:proofErr w:type="spellStart"/>
      <w:r w:rsidR="00DB37BF">
        <w:t>af</w:t>
      </w:r>
      <w:proofErr w:type="spellEnd"/>
      <w:r w:rsidR="00DB37BF">
        <w:t xml:space="preserve"> Klint, Mondrian</w:t>
      </w:r>
      <w:r w:rsidR="008E62EE">
        <w:t xml:space="preserve">, </w:t>
      </w:r>
      <w:r w:rsidR="005668E5">
        <w:t>Kandinsky</w:t>
      </w:r>
      <w:r w:rsidR="00F90274">
        <w:t>, Klee, Rothko</w:t>
      </w:r>
      <w:r w:rsidR="00CF484D">
        <w:t xml:space="preserve"> and many others</w:t>
      </w:r>
      <w:r w:rsidR="00D14109">
        <w:t xml:space="preserve">, partly with the aim of </w:t>
      </w:r>
      <w:r w:rsidR="007B30F1">
        <w:t>achiev</w:t>
      </w:r>
      <w:r w:rsidR="00D14109">
        <w:t>ing</w:t>
      </w:r>
      <w:r w:rsidR="007B30F1">
        <w:t xml:space="preserve"> </w:t>
      </w:r>
      <w:r w:rsidR="00656517">
        <w:t>liberat</w:t>
      </w:r>
      <w:r w:rsidR="007B30F1">
        <w:t>ion</w:t>
      </w:r>
      <w:r w:rsidR="00656517">
        <w:t xml:space="preserve"> from </w:t>
      </w:r>
      <w:r w:rsidR="004A065B">
        <w:t>the constraints of realism</w:t>
      </w:r>
      <w:r w:rsidR="007520D1">
        <w:t xml:space="preserve">. </w:t>
      </w:r>
      <w:r w:rsidR="004A065B">
        <w:t xml:space="preserve"> </w:t>
      </w:r>
      <w:r w:rsidR="007520D1">
        <w:t>R</w:t>
      </w:r>
      <w:r w:rsidR="006E4CB1">
        <w:t>eclaim</w:t>
      </w:r>
      <w:r w:rsidR="007520D1">
        <w:t>ing</w:t>
      </w:r>
      <w:r w:rsidR="006E4CB1">
        <w:t xml:space="preserve"> the ability of children to draw</w:t>
      </w:r>
      <w:r w:rsidR="00E2582A">
        <w:t xml:space="preserve"> from instinct</w:t>
      </w:r>
      <w:r w:rsidR="002235C5">
        <w:t xml:space="preserve"> </w:t>
      </w:r>
      <w:r w:rsidR="006E4CB1">
        <w:t xml:space="preserve">and </w:t>
      </w:r>
      <w:r w:rsidR="00E2582A">
        <w:t xml:space="preserve">with </w:t>
      </w:r>
      <w:r w:rsidR="0034227B">
        <w:t>simplicity</w:t>
      </w:r>
      <w:r w:rsidR="007520D1">
        <w:t xml:space="preserve"> was an aspiration too; </w:t>
      </w:r>
      <w:r w:rsidR="00CA3E41">
        <w:t xml:space="preserve">in a remark famously </w:t>
      </w:r>
      <w:r w:rsidR="009C0877">
        <w:t>attributed to Picasso</w:t>
      </w:r>
      <w:r w:rsidR="00CA3E41">
        <w:t>, he said</w:t>
      </w:r>
      <w:r w:rsidR="00A117D5">
        <w:t>,</w:t>
      </w:r>
      <w:r w:rsidR="009C0877">
        <w:t xml:space="preserve"> ‘It took me four years to paint like Raphael but a lifetime to paint like a child’.</w:t>
      </w:r>
      <w:r w:rsidR="00330F1B">
        <w:rPr>
          <w:rStyle w:val="FootnoteReference"/>
        </w:rPr>
        <w:footnoteReference w:id="2"/>
      </w:r>
      <w:r w:rsidR="00BA328D">
        <w:t xml:space="preserve"> Klee, too, </w:t>
      </w:r>
      <w:r w:rsidR="002A4235">
        <w:t>admired the ‘uncorrupted’ art</w:t>
      </w:r>
      <w:r w:rsidR="00D23A95">
        <w:t xml:space="preserve"> of children and the mentally disturbed: ‘</w:t>
      </w:r>
      <w:r w:rsidR="0035592E">
        <w:t>all these paintings should be taken far more seriously than all our art galleries’.</w:t>
      </w:r>
      <w:r w:rsidR="0035592E">
        <w:rPr>
          <w:rStyle w:val="FootnoteReference"/>
        </w:rPr>
        <w:footnoteReference w:id="3"/>
      </w:r>
    </w:p>
    <w:p w14:paraId="021B22FF" w14:textId="1D40BAF0" w:rsidR="00EB6095" w:rsidRDefault="00881507" w:rsidP="00EB6095">
      <w:pPr>
        <w:jc w:val="both"/>
      </w:pPr>
      <w:r>
        <w:lastRenderedPageBreak/>
        <w:t>While r</w:t>
      </w:r>
      <w:r w:rsidR="00EB6095">
        <w:t xml:space="preserve">ecognising </w:t>
      </w:r>
      <w:r>
        <w:t xml:space="preserve">implicitly </w:t>
      </w:r>
      <w:r w:rsidR="00EB6095">
        <w:t xml:space="preserve">the roots of some early abstractionists in quasi-religious movements such as theosophy, Gombrich </w:t>
      </w:r>
      <w:r w:rsidR="00A117D5">
        <w:t xml:space="preserve">considered this </w:t>
      </w:r>
      <w:r w:rsidR="00504198">
        <w:t xml:space="preserve">a </w:t>
      </w:r>
      <w:r w:rsidR="00EB6095">
        <w:t>pretension</w:t>
      </w:r>
      <w:r w:rsidR="00504198">
        <w:t>:</w:t>
      </w:r>
      <w:r w:rsidR="00EB6095">
        <w:t>‘</w:t>
      </w:r>
    </w:p>
    <w:p w14:paraId="661A550B" w14:textId="77777777" w:rsidR="00EB6095" w:rsidRPr="00EE149F" w:rsidRDefault="00EB6095" w:rsidP="00EB6095">
      <w:pPr>
        <w:ind w:left="720" w:right="804"/>
        <w:jc w:val="both"/>
        <w:rPr>
          <w:sz w:val="20"/>
          <w:szCs w:val="20"/>
        </w:rPr>
      </w:pPr>
      <w:r w:rsidRPr="00EE149F">
        <w:rPr>
          <w:sz w:val="20"/>
          <w:szCs w:val="20"/>
        </w:rPr>
        <w:t>Mondrian, like Kandinsky and Klee, was something of a mystic and wanted his art to reveal immutable realities behind the ever-changing forms of subjective appearance’.</w:t>
      </w:r>
      <w:r w:rsidRPr="00EE149F">
        <w:rPr>
          <w:rStyle w:val="FootnoteReference"/>
          <w:sz w:val="20"/>
          <w:szCs w:val="20"/>
        </w:rPr>
        <w:footnoteReference w:id="4"/>
      </w:r>
      <w:r w:rsidRPr="00EE149F">
        <w:rPr>
          <w:sz w:val="20"/>
          <w:szCs w:val="20"/>
        </w:rPr>
        <w:t xml:space="preserve"> </w:t>
      </w:r>
    </w:p>
    <w:p w14:paraId="40E75F74" w14:textId="6BED8325" w:rsidR="008F1FC7" w:rsidRDefault="008F1FC7" w:rsidP="008F1FC7">
      <w:pPr>
        <w:jc w:val="both"/>
      </w:pPr>
      <w:r>
        <w:t>In another, rather snide, remark he notes:</w:t>
      </w:r>
    </w:p>
    <w:p w14:paraId="0745BACA" w14:textId="77777777" w:rsidR="008F1FC7" w:rsidRPr="00E055D2" w:rsidRDefault="008F1FC7" w:rsidP="008F1FC7">
      <w:pPr>
        <w:ind w:left="720" w:right="804"/>
        <w:jc w:val="both"/>
        <w:rPr>
          <w:sz w:val="20"/>
          <w:szCs w:val="20"/>
        </w:rPr>
      </w:pPr>
      <w:r>
        <w:rPr>
          <w:sz w:val="20"/>
          <w:szCs w:val="20"/>
        </w:rPr>
        <w:t xml:space="preserve">… </w:t>
      </w:r>
      <w:r w:rsidRPr="00E055D2">
        <w:rPr>
          <w:sz w:val="20"/>
          <w:szCs w:val="20"/>
        </w:rPr>
        <w:t>a picture which contains nothing more but two squares may have caused its make</w:t>
      </w:r>
      <w:r>
        <w:rPr>
          <w:sz w:val="20"/>
          <w:szCs w:val="20"/>
        </w:rPr>
        <w:t>r</w:t>
      </w:r>
      <w:r w:rsidRPr="00E055D2">
        <w:rPr>
          <w:sz w:val="20"/>
          <w:szCs w:val="20"/>
        </w:rPr>
        <w:t xml:space="preserve"> more anxiety than it caused an artist of the past to paint a Madonna, For the painter of the Madonna knew what he was aiming at ... Even if we do not share [the abstract painter’s] interest we need not scoff at his self-imposed labours.</w:t>
      </w:r>
      <w:r>
        <w:rPr>
          <w:rStyle w:val="FootnoteReference"/>
          <w:sz w:val="20"/>
          <w:szCs w:val="20"/>
        </w:rPr>
        <w:footnoteReference w:id="5"/>
      </w:r>
    </w:p>
    <w:p w14:paraId="695BB531" w14:textId="7DFED410" w:rsidR="00A96ABC" w:rsidRDefault="00D73274" w:rsidP="00F93E1F">
      <w:pPr>
        <w:jc w:val="both"/>
      </w:pPr>
      <w:r>
        <w:t xml:space="preserve">Abstract artists had no </w:t>
      </w:r>
      <w:r w:rsidR="00192563">
        <w:t xml:space="preserve">clear </w:t>
      </w:r>
      <w:r>
        <w:t xml:space="preserve">idea, therefore, what it was they were trying to achieve. </w:t>
      </w:r>
      <w:r w:rsidR="00B9745A">
        <w:t xml:space="preserve">At the same time, early </w:t>
      </w:r>
      <w:r w:rsidR="00BA0B91">
        <w:t>abstraction was</w:t>
      </w:r>
      <w:r w:rsidR="002B4089">
        <w:t xml:space="preserve"> </w:t>
      </w:r>
      <w:r w:rsidR="00525F3A">
        <w:t xml:space="preserve">received </w:t>
      </w:r>
      <w:r w:rsidR="00B9745A">
        <w:t xml:space="preserve">not </w:t>
      </w:r>
      <w:r w:rsidR="005E12E5">
        <w:t xml:space="preserve">so much as </w:t>
      </w:r>
      <w:r w:rsidR="00B9745A">
        <w:t>facile but</w:t>
      </w:r>
      <w:r w:rsidR="00525F3A">
        <w:t>, rather,</w:t>
      </w:r>
      <w:r w:rsidR="00B9745A">
        <w:t xml:space="preserve"> as </w:t>
      </w:r>
      <w:r w:rsidR="0018439C">
        <w:t xml:space="preserve">too beautiful, </w:t>
      </w:r>
      <w:r w:rsidR="002B4089">
        <w:t xml:space="preserve">hopelessly </w:t>
      </w:r>
      <w:r w:rsidR="00720BE2">
        <w:t>decorative</w:t>
      </w:r>
      <w:r w:rsidR="004F573C">
        <w:t xml:space="preserve"> and context-free</w:t>
      </w:r>
      <w:r w:rsidR="00806D07">
        <w:t>;</w:t>
      </w:r>
      <w:r w:rsidR="00602ADF">
        <w:rPr>
          <w:rStyle w:val="FootnoteReference"/>
        </w:rPr>
        <w:footnoteReference w:id="6"/>
      </w:r>
      <w:r w:rsidR="0035603D">
        <w:t xml:space="preserve"> </w:t>
      </w:r>
      <w:r w:rsidR="00901206">
        <w:t xml:space="preserve">again, </w:t>
      </w:r>
      <w:r w:rsidR="003A5676">
        <w:t>misguided</w:t>
      </w:r>
      <w:r w:rsidR="00806D07">
        <w:t>, but for</w:t>
      </w:r>
      <w:r w:rsidR="000C0CCE">
        <w:t xml:space="preserve"> </w:t>
      </w:r>
      <w:r w:rsidR="00806D07">
        <w:t>different reason</w:t>
      </w:r>
      <w:r w:rsidR="000C0CCE">
        <w:t>s</w:t>
      </w:r>
      <w:r w:rsidR="00806D07">
        <w:t xml:space="preserve">. </w:t>
      </w:r>
      <w:r w:rsidR="002E42F6">
        <w:t xml:space="preserve">As Clement Greenberg </w:t>
      </w:r>
      <w:r w:rsidR="005C5E73">
        <w:t xml:space="preserve">saw </w:t>
      </w:r>
      <w:r w:rsidR="002E42F6">
        <w:t xml:space="preserve">it, </w:t>
      </w:r>
      <w:r w:rsidR="00BB6ACC">
        <w:t xml:space="preserve">‘when the </w:t>
      </w:r>
      <w:r w:rsidR="00C62E2E">
        <w:t xml:space="preserve">abstract </w:t>
      </w:r>
      <w:r w:rsidR="00BB6ACC">
        <w:t>artist grows tired, he becomes an interior decorator’.</w:t>
      </w:r>
      <w:r w:rsidR="00BB6ACC">
        <w:rPr>
          <w:rStyle w:val="FootnoteReference"/>
        </w:rPr>
        <w:footnoteReference w:id="7"/>
      </w:r>
      <w:r w:rsidR="00BF4BB5">
        <w:t xml:space="preserve"> </w:t>
      </w:r>
      <w:r w:rsidR="008B2497">
        <w:t>Making</w:t>
      </w:r>
      <w:r w:rsidR="00C26E71">
        <w:t xml:space="preserve"> p</w:t>
      </w:r>
      <w:r w:rsidR="00B10551">
        <w:t xml:space="preserve">retty patterns </w:t>
      </w:r>
      <w:r w:rsidR="00403021">
        <w:t>was</w:t>
      </w:r>
      <w:r w:rsidR="008B2497">
        <w:t xml:space="preserve"> </w:t>
      </w:r>
      <w:r w:rsidR="003A72F0">
        <w:t>all very well but</w:t>
      </w:r>
      <w:r w:rsidR="003A5676">
        <w:t xml:space="preserve"> what</w:t>
      </w:r>
      <w:r w:rsidR="00403021">
        <w:t xml:space="preserve"> </w:t>
      </w:r>
      <w:r w:rsidR="009F2B52">
        <w:t xml:space="preserve">modern </w:t>
      </w:r>
      <w:r w:rsidR="00A56B54">
        <w:t xml:space="preserve">art </w:t>
      </w:r>
      <w:r w:rsidR="003A5676">
        <w:t xml:space="preserve">really </w:t>
      </w:r>
      <w:r w:rsidR="00A56B54">
        <w:t>required was the rigour and purity of formalism.</w:t>
      </w:r>
      <w:r w:rsidR="009B62B9">
        <w:rPr>
          <w:rStyle w:val="FootnoteReference"/>
        </w:rPr>
        <w:footnoteReference w:id="8"/>
      </w:r>
      <w:r w:rsidR="00030554">
        <w:t xml:space="preserve"> </w:t>
      </w:r>
      <w:r w:rsidR="00D64551">
        <w:t xml:space="preserve">These </w:t>
      </w:r>
      <w:r w:rsidR="00BD49C3">
        <w:t xml:space="preserve">related criticisms </w:t>
      </w:r>
      <w:r w:rsidR="00D64551">
        <w:t>of abstract</w:t>
      </w:r>
      <w:r w:rsidR="00BD49C3">
        <w:t>ion</w:t>
      </w:r>
      <w:r w:rsidR="00D64551">
        <w:t xml:space="preserve"> will be</w:t>
      </w:r>
      <w:r w:rsidR="00B223BF">
        <w:t xml:space="preserve"> outlined </w:t>
      </w:r>
      <w:r w:rsidR="006E03DF">
        <w:t xml:space="preserve">briefly </w:t>
      </w:r>
      <w:r w:rsidR="00B223BF">
        <w:t>below</w:t>
      </w:r>
      <w:r w:rsidR="00311AC0">
        <w:t>, with a particular focus on the work of Paul Klee.</w:t>
      </w:r>
    </w:p>
    <w:p w14:paraId="767D515C" w14:textId="1541FD1E" w:rsidR="0099404D" w:rsidRDefault="00D12791" w:rsidP="00F93E1F">
      <w:pPr>
        <w:jc w:val="both"/>
      </w:pPr>
      <w:r>
        <w:t xml:space="preserve">Abstract art </w:t>
      </w:r>
      <w:r w:rsidR="00303D9F">
        <w:t xml:space="preserve">can be </w:t>
      </w:r>
      <w:r w:rsidR="00744D83">
        <w:t xml:space="preserve">defined by definition to its opposite, representational or figurative art, with the latter </w:t>
      </w:r>
      <w:r w:rsidR="00E306A2">
        <w:t xml:space="preserve">signifying the </w:t>
      </w:r>
      <w:r w:rsidR="00C57947">
        <w:t xml:space="preserve">depiction of </w:t>
      </w:r>
      <w:r w:rsidR="00E306A2">
        <w:t>reality through ‘tricks’ such as perspective</w:t>
      </w:r>
      <w:r w:rsidR="00C9578E">
        <w:t xml:space="preserve"> and tone to </w:t>
      </w:r>
      <w:r w:rsidR="00DF3686">
        <w:t xml:space="preserve"> create form</w:t>
      </w:r>
      <w:r w:rsidR="00A31D79">
        <w:t xml:space="preserve"> and </w:t>
      </w:r>
      <w:r w:rsidR="00DF3686">
        <w:t xml:space="preserve">with </w:t>
      </w:r>
      <w:r w:rsidR="00A31D79">
        <w:t>t</w:t>
      </w:r>
      <w:r w:rsidR="002A00AF">
        <w:t xml:space="preserve">he inherent flatness of the picture plane </w:t>
      </w:r>
      <w:r w:rsidR="00A31D79">
        <w:t>rendered so as to create the illusion of three dimensionality</w:t>
      </w:r>
      <w:r w:rsidR="00311237">
        <w:t xml:space="preserve">. </w:t>
      </w:r>
      <w:r w:rsidR="00DF3686">
        <w:t xml:space="preserve">In opposition to this, </w:t>
      </w:r>
      <w:r w:rsidR="00BE4F21">
        <w:t>a</w:t>
      </w:r>
      <w:r w:rsidR="00311237">
        <w:t xml:space="preserve">bstract art, at least </w:t>
      </w:r>
      <w:r w:rsidR="00A375E8">
        <w:t xml:space="preserve">in </w:t>
      </w:r>
      <w:r w:rsidR="00311237">
        <w:t xml:space="preserve">its </w:t>
      </w:r>
      <w:r w:rsidR="00A375E8">
        <w:t xml:space="preserve">purest form, </w:t>
      </w:r>
      <w:r w:rsidR="00FF2823">
        <w:t xml:space="preserve">need </w:t>
      </w:r>
      <w:r w:rsidR="00876941">
        <w:t xml:space="preserve">not – though it can – </w:t>
      </w:r>
      <w:r w:rsidR="00A375E8">
        <w:t>bear</w:t>
      </w:r>
      <w:r w:rsidR="00876941">
        <w:t xml:space="preserve"> any</w:t>
      </w:r>
      <w:r w:rsidR="00A375E8">
        <w:t xml:space="preserve"> resemblance to </w:t>
      </w:r>
      <w:r w:rsidR="00D54A94">
        <w:t>natural entit</w:t>
      </w:r>
      <w:r w:rsidR="00876941">
        <w:t>ies</w:t>
      </w:r>
      <w:r w:rsidR="00D54A94">
        <w:t xml:space="preserve"> such as a person, place or thing. </w:t>
      </w:r>
      <w:r w:rsidR="0099404D">
        <w:t xml:space="preserve">Pictures are not made </w:t>
      </w:r>
      <w:r w:rsidR="006E049D">
        <w:t xml:space="preserve">from </w:t>
      </w:r>
      <w:r w:rsidR="00522D77">
        <w:t xml:space="preserve">direct </w:t>
      </w:r>
      <w:r w:rsidR="006E049D">
        <w:t>observation</w:t>
      </w:r>
      <w:r w:rsidR="00E548BC">
        <w:t xml:space="preserve"> of the world.</w:t>
      </w:r>
    </w:p>
    <w:p w14:paraId="25E75954" w14:textId="3D1D0C05" w:rsidR="00C56525" w:rsidRPr="00812292" w:rsidRDefault="00C56525" w:rsidP="001868EE">
      <w:pPr>
        <w:ind w:left="720" w:right="804"/>
        <w:jc w:val="both"/>
        <w:rPr>
          <w:sz w:val="20"/>
          <w:szCs w:val="20"/>
        </w:rPr>
      </w:pPr>
      <w:r w:rsidRPr="00812292">
        <w:rPr>
          <w:sz w:val="20"/>
          <w:szCs w:val="20"/>
        </w:rPr>
        <w:t xml:space="preserve">What counted </w:t>
      </w:r>
      <w:r w:rsidR="00E548BC">
        <w:rPr>
          <w:sz w:val="20"/>
          <w:szCs w:val="20"/>
        </w:rPr>
        <w:t xml:space="preserve">[for Mondrian] </w:t>
      </w:r>
      <w:r w:rsidRPr="00812292">
        <w:rPr>
          <w:sz w:val="20"/>
          <w:szCs w:val="20"/>
        </w:rPr>
        <w:t>was not the relationship of things</w:t>
      </w:r>
      <w:r w:rsidR="001868EE" w:rsidRPr="00812292">
        <w:rPr>
          <w:sz w:val="20"/>
          <w:szCs w:val="20"/>
        </w:rPr>
        <w:t>, the marks, the colours and shapes, in the painting with the outer world of nature but the way they related to each other, the internal relationships within a work.</w:t>
      </w:r>
      <w:r w:rsidR="001868EE" w:rsidRPr="00812292">
        <w:rPr>
          <w:rStyle w:val="FootnoteReference"/>
          <w:sz w:val="20"/>
          <w:szCs w:val="20"/>
        </w:rPr>
        <w:footnoteReference w:id="9"/>
      </w:r>
    </w:p>
    <w:p w14:paraId="02874392" w14:textId="59E707D9" w:rsidR="00EE149F" w:rsidRDefault="00B8791F" w:rsidP="00EB6095">
      <w:pPr>
        <w:jc w:val="both"/>
      </w:pPr>
      <w:r>
        <w:t xml:space="preserve">In short, line and colour alone </w:t>
      </w:r>
      <w:r w:rsidR="00D822D6">
        <w:t xml:space="preserve">deliver </w:t>
      </w:r>
      <w:r>
        <w:t>all the information necessary to recognise universal</w:t>
      </w:r>
      <w:r w:rsidR="00961CA2">
        <w:t xml:space="preserve"> elements of reality. </w:t>
      </w:r>
      <w:r w:rsidR="00BF6A11">
        <w:t xml:space="preserve"> </w:t>
      </w:r>
    </w:p>
    <w:p w14:paraId="703589C6" w14:textId="09201ED0" w:rsidR="006D6D73" w:rsidRDefault="006D6D73" w:rsidP="000A7BFC">
      <w:pPr>
        <w:jc w:val="both"/>
      </w:pPr>
      <w:r>
        <w:lastRenderedPageBreak/>
        <w:t xml:space="preserve">A </w:t>
      </w:r>
      <w:r w:rsidR="00FA7812">
        <w:t xml:space="preserve">highly </w:t>
      </w:r>
      <w:r w:rsidR="00BA1FAD">
        <w:t>nuanced</w:t>
      </w:r>
      <w:r w:rsidR="00BA713B">
        <w:t xml:space="preserve"> and</w:t>
      </w:r>
      <w:r w:rsidR="00FA04B9">
        <w:t xml:space="preserve"> </w:t>
      </w:r>
      <w:r w:rsidR="001E50A8">
        <w:t xml:space="preserve">analytically </w:t>
      </w:r>
      <w:r w:rsidR="007C718C">
        <w:t>coherent</w:t>
      </w:r>
      <w:r w:rsidR="006D0ADD">
        <w:t xml:space="preserve"> </w:t>
      </w:r>
      <w:r w:rsidR="00FA04B9">
        <w:t>understanding, in relation to the work of Paul Klee</w:t>
      </w:r>
      <w:r w:rsidR="007C718C">
        <w:t xml:space="preserve"> in particular</w:t>
      </w:r>
      <w:r w:rsidR="00FA04B9">
        <w:t>, is expressed by Bridget Riley</w:t>
      </w:r>
      <w:r w:rsidR="00403021">
        <w:t>.</w:t>
      </w:r>
      <w:r w:rsidR="00C13152">
        <w:t xml:space="preserve"> </w:t>
      </w:r>
      <w:r w:rsidR="00403021">
        <w:t xml:space="preserve">She </w:t>
      </w:r>
      <w:r w:rsidR="00C13152">
        <w:t>refutes the idea that there was anything essentially novel about abstraction</w:t>
      </w:r>
      <w:r w:rsidR="00FA04B9">
        <w:t>:</w:t>
      </w:r>
    </w:p>
    <w:p w14:paraId="64D343F1" w14:textId="108744D0" w:rsidR="007B6328" w:rsidRDefault="00812292" w:rsidP="007B6328">
      <w:pPr>
        <w:pStyle w:val="NormalWeb"/>
        <w:ind w:left="709" w:right="804"/>
        <w:jc w:val="both"/>
        <w:rPr>
          <w:rFonts w:asciiTheme="minorHAnsi" w:hAnsiTheme="minorHAnsi"/>
          <w:sz w:val="20"/>
          <w:szCs w:val="20"/>
        </w:rPr>
      </w:pPr>
      <w:r w:rsidRPr="00812292">
        <w:rPr>
          <w:rFonts w:asciiTheme="minorHAnsi" w:hAnsiTheme="minorHAnsi"/>
          <w:sz w:val="20"/>
          <w:szCs w:val="20"/>
        </w:rPr>
        <w:t>Every painter starts with the elements - lines, colours, forms - which are essentially abstract in relation to the pictorial experience that can be created with them ... it is not so difficult to see that Vermeer is more of an abstract painter than many avowed 'abstractionists'. The only really 'new' development of the twentieth century was that the abstractness of picture-making rose to the surface, literally and metaphorically.</w:t>
      </w:r>
      <w:r w:rsidR="00682560">
        <w:rPr>
          <w:rStyle w:val="FootnoteReference"/>
          <w:rFonts w:asciiTheme="minorHAnsi" w:hAnsiTheme="minorHAnsi"/>
          <w:sz w:val="20"/>
          <w:szCs w:val="20"/>
        </w:rPr>
        <w:footnoteReference w:id="10"/>
      </w:r>
    </w:p>
    <w:p w14:paraId="6052B2DA" w14:textId="7ED0046E" w:rsidR="00F023AB" w:rsidRDefault="00ED0D3F" w:rsidP="00A74C24">
      <w:pPr>
        <w:pStyle w:val="NormalWeb"/>
        <w:jc w:val="both"/>
        <w:rPr>
          <w:rFonts w:asciiTheme="minorHAnsi" w:hAnsiTheme="minorHAnsi"/>
          <w:sz w:val="22"/>
          <w:szCs w:val="22"/>
        </w:rPr>
      </w:pPr>
      <w:r w:rsidRPr="009B4619">
        <w:rPr>
          <w:rFonts w:asciiTheme="minorHAnsi" w:hAnsiTheme="minorHAnsi"/>
          <w:sz w:val="22"/>
          <w:szCs w:val="22"/>
        </w:rPr>
        <w:t>This literal ‘rising to the surface’ refers to the fact that the picture plane cannot be ignored</w:t>
      </w:r>
      <w:r w:rsidR="00BA3D12">
        <w:rPr>
          <w:rFonts w:asciiTheme="minorHAnsi" w:hAnsiTheme="minorHAnsi"/>
          <w:sz w:val="22"/>
          <w:szCs w:val="22"/>
        </w:rPr>
        <w:t>.</w:t>
      </w:r>
      <w:r w:rsidR="00EB5AB8">
        <w:rPr>
          <w:rFonts w:asciiTheme="minorHAnsi" w:hAnsiTheme="minorHAnsi"/>
          <w:sz w:val="22"/>
          <w:szCs w:val="22"/>
        </w:rPr>
        <w:t xml:space="preserve"> </w:t>
      </w:r>
      <w:r w:rsidR="00A915AC">
        <w:rPr>
          <w:rFonts w:asciiTheme="minorHAnsi" w:hAnsiTheme="minorHAnsi"/>
          <w:sz w:val="22"/>
          <w:szCs w:val="22"/>
        </w:rPr>
        <w:t>Flatness being a condition shared with no other art, abstraction renounces the idea that objects that exist in three dimensions can be meaningfully represented in two</w:t>
      </w:r>
      <w:r w:rsidR="00FF6B91">
        <w:rPr>
          <w:rFonts w:asciiTheme="minorHAnsi" w:hAnsiTheme="minorHAnsi"/>
          <w:sz w:val="22"/>
          <w:szCs w:val="22"/>
        </w:rPr>
        <w:t>.</w:t>
      </w:r>
      <w:r w:rsidR="00870028">
        <w:rPr>
          <w:rStyle w:val="FootnoteReference"/>
          <w:rFonts w:asciiTheme="minorHAnsi" w:hAnsiTheme="minorHAnsi"/>
          <w:sz w:val="22"/>
          <w:szCs w:val="22"/>
        </w:rPr>
        <w:footnoteReference w:id="11"/>
      </w:r>
      <w:r w:rsidRPr="009B4619">
        <w:rPr>
          <w:rFonts w:asciiTheme="minorHAnsi" w:hAnsiTheme="minorHAnsi"/>
          <w:sz w:val="22"/>
          <w:szCs w:val="22"/>
        </w:rPr>
        <w:t xml:space="preserve"> </w:t>
      </w:r>
      <w:r w:rsidR="004B6202">
        <w:rPr>
          <w:rFonts w:asciiTheme="minorHAnsi" w:hAnsiTheme="minorHAnsi"/>
          <w:sz w:val="22"/>
          <w:szCs w:val="22"/>
        </w:rPr>
        <w:t>Whereas r</w:t>
      </w:r>
      <w:r w:rsidR="004B6202" w:rsidRPr="003F06BE">
        <w:rPr>
          <w:rFonts w:asciiTheme="minorHAnsi" w:hAnsiTheme="minorHAnsi"/>
          <w:sz w:val="22"/>
          <w:szCs w:val="22"/>
        </w:rPr>
        <w:t>ealis</w:t>
      </w:r>
      <w:r w:rsidR="004B6202">
        <w:rPr>
          <w:rFonts w:asciiTheme="minorHAnsi" w:hAnsiTheme="minorHAnsi"/>
          <w:sz w:val="22"/>
          <w:szCs w:val="22"/>
        </w:rPr>
        <w:t>m had attempted to disguise the inherent limitations of the two dimensional surface, modernism ‘used art to call attention to art’.</w:t>
      </w:r>
      <w:r w:rsidR="00D357C0">
        <w:rPr>
          <w:rStyle w:val="FootnoteReference"/>
          <w:rFonts w:asciiTheme="minorHAnsi" w:hAnsiTheme="minorHAnsi"/>
          <w:sz w:val="22"/>
          <w:szCs w:val="22"/>
        </w:rPr>
        <w:footnoteReference w:id="12"/>
      </w:r>
      <w:r w:rsidR="00896725">
        <w:rPr>
          <w:rFonts w:asciiTheme="minorHAnsi" w:hAnsiTheme="minorHAnsi"/>
          <w:sz w:val="22"/>
          <w:szCs w:val="22"/>
        </w:rPr>
        <w:t xml:space="preserve"> </w:t>
      </w:r>
      <w:r w:rsidR="00D86ECF" w:rsidRPr="00D86ECF">
        <w:rPr>
          <w:rFonts w:asciiTheme="minorHAnsi" w:hAnsiTheme="minorHAnsi"/>
          <w:sz w:val="22"/>
          <w:szCs w:val="22"/>
        </w:rPr>
        <w:t>Klee’s method ‘picked apart and isolated the fundamental components of picture-making’</w:t>
      </w:r>
      <w:r w:rsidR="00D86ECF" w:rsidRPr="00D86ECF">
        <w:rPr>
          <w:rFonts w:asciiTheme="minorHAnsi" w:hAnsiTheme="minorHAnsi"/>
        </w:rPr>
        <w:t>.</w:t>
      </w:r>
      <w:r w:rsidR="00D86ECF" w:rsidRPr="00D86ECF">
        <w:rPr>
          <w:rStyle w:val="FootnoteReference"/>
          <w:rFonts w:asciiTheme="minorHAnsi" w:hAnsiTheme="minorHAnsi"/>
        </w:rPr>
        <w:footnoteReference w:id="13"/>
      </w:r>
      <w:r w:rsidR="00D86ECF">
        <w:t xml:space="preserve"> </w:t>
      </w:r>
      <w:r w:rsidR="00AE15A1" w:rsidRPr="00624551">
        <w:rPr>
          <w:rFonts w:asciiTheme="minorHAnsi" w:hAnsiTheme="minorHAnsi"/>
          <w:sz w:val="22"/>
          <w:szCs w:val="22"/>
        </w:rPr>
        <w:t>On this reading, abstract art merely makes ex</w:t>
      </w:r>
      <w:r w:rsidR="00D75112" w:rsidRPr="00624551">
        <w:rPr>
          <w:rFonts w:asciiTheme="minorHAnsi" w:hAnsiTheme="minorHAnsi"/>
          <w:sz w:val="22"/>
          <w:szCs w:val="22"/>
        </w:rPr>
        <w:t xml:space="preserve">plicit the foundations of </w:t>
      </w:r>
      <w:r w:rsidR="00CF353F">
        <w:rPr>
          <w:rFonts w:asciiTheme="minorHAnsi" w:hAnsiTheme="minorHAnsi"/>
          <w:sz w:val="22"/>
          <w:szCs w:val="22"/>
        </w:rPr>
        <w:t xml:space="preserve">all and </w:t>
      </w:r>
      <w:r w:rsidR="003368EE">
        <w:rPr>
          <w:rFonts w:asciiTheme="minorHAnsi" w:hAnsiTheme="minorHAnsi"/>
          <w:sz w:val="22"/>
          <w:szCs w:val="22"/>
        </w:rPr>
        <w:t>image making in two dimensions</w:t>
      </w:r>
      <w:r w:rsidR="00057C08">
        <w:rPr>
          <w:rFonts w:asciiTheme="minorHAnsi" w:hAnsiTheme="minorHAnsi"/>
          <w:sz w:val="22"/>
          <w:szCs w:val="22"/>
        </w:rPr>
        <w:t>;</w:t>
      </w:r>
      <w:r w:rsidR="00E970D2">
        <w:rPr>
          <w:rFonts w:asciiTheme="minorHAnsi" w:hAnsiTheme="minorHAnsi"/>
          <w:sz w:val="22"/>
          <w:szCs w:val="22"/>
        </w:rPr>
        <w:t xml:space="preserve"> </w:t>
      </w:r>
      <w:r w:rsidR="002A4A25" w:rsidRPr="00624551">
        <w:rPr>
          <w:rFonts w:asciiTheme="minorHAnsi" w:hAnsiTheme="minorHAnsi"/>
          <w:sz w:val="22"/>
          <w:szCs w:val="22"/>
        </w:rPr>
        <w:t>abstraction</w:t>
      </w:r>
      <w:r w:rsidR="00C54B70">
        <w:rPr>
          <w:rFonts w:asciiTheme="minorHAnsi" w:hAnsiTheme="minorHAnsi"/>
          <w:sz w:val="22"/>
          <w:szCs w:val="22"/>
        </w:rPr>
        <w:t xml:space="preserve"> is, at one level,</w:t>
      </w:r>
      <w:r w:rsidR="002A4A25" w:rsidRPr="00624551">
        <w:rPr>
          <w:rFonts w:asciiTheme="minorHAnsi" w:hAnsiTheme="minorHAnsi"/>
          <w:sz w:val="22"/>
          <w:szCs w:val="22"/>
        </w:rPr>
        <w:t xml:space="preserve"> simply a form of deconstruction</w:t>
      </w:r>
      <w:r w:rsidR="00C54B70">
        <w:rPr>
          <w:rFonts w:asciiTheme="minorHAnsi" w:hAnsiTheme="minorHAnsi"/>
          <w:sz w:val="22"/>
          <w:szCs w:val="22"/>
        </w:rPr>
        <w:t>.</w:t>
      </w:r>
      <w:r w:rsidR="00362FF0">
        <w:rPr>
          <w:rStyle w:val="FootnoteReference"/>
          <w:rFonts w:asciiTheme="minorHAnsi" w:hAnsiTheme="minorHAnsi"/>
          <w:sz w:val="22"/>
          <w:szCs w:val="22"/>
        </w:rPr>
        <w:footnoteReference w:id="14"/>
      </w:r>
      <w:r w:rsidR="0079689A" w:rsidRPr="0079689A">
        <w:rPr>
          <w:rFonts w:asciiTheme="minorHAnsi" w:hAnsiTheme="minorHAnsi"/>
          <w:sz w:val="22"/>
          <w:szCs w:val="22"/>
        </w:rPr>
        <w:t xml:space="preserve"> </w:t>
      </w:r>
      <w:r w:rsidR="00A04D69" w:rsidRPr="007E2686">
        <w:rPr>
          <w:rFonts w:asciiTheme="minorHAnsi" w:hAnsiTheme="minorHAnsi"/>
          <w:sz w:val="22"/>
          <w:szCs w:val="22"/>
        </w:rPr>
        <w:t xml:space="preserve">I tried </w:t>
      </w:r>
      <w:r w:rsidR="00B1157A">
        <w:rPr>
          <w:rFonts w:asciiTheme="minorHAnsi" w:hAnsiTheme="minorHAnsi"/>
          <w:sz w:val="22"/>
          <w:szCs w:val="22"/>
        </w:rPr>
        <w:t>an exp</w:t>
      </w:r>
      <w:r w:rsidR="00695671">
        <w:rPr>
          <w:rFonts w:asciiTheme="minorHAnsi" w:hAnsiTheme="minorHAnsi"/>
          <w:sz w:val="22"/>
          <w:szCs w:val="22"/>
        </w:rPr>
        <w:t xml:space="preserve">eriment </w:t>
      </w:r>
      <w:r w:rsidR="00017932">
        <w:rPr>
          <w:rFonts w:asciiTheme="minorHAnsi" w:hAnsiTheme="minorHAnsi"/>
          <w:sz w:val="22"/>
          <w:szCs w:val="22"/>
        </w:rPr>
        <w:t xml:space="preserve">with this idea </w:t>
      </w:r>
      <w:r w:rsidR="00A04D69" w:rsidRPr="007E2686">
        <w:rPr>
          <w:rFonts w:asciiTheme="minorHAnsi" w:hAnsiTheme="minorHAnsi"/>
          <w:sz w:val="22"/>
          <w:szCs w:val="22"/>
        </w:rPr>
        <w:t>for myself, looking an Old Master drawing</w:t>
      </w:r>
      <w:r w:rsidR="00695671">
        <w:rPr>
          <w:rFonts w:asciiTheme="minorHAnsi" w:hAnsiTheme="minorHAnsi"/>
          <w:sz w:val="22"/>
          <w:szCs w:val="22"/>
        </w:rPr>
        <w:t xml:space="preserve"> to understand what </w:t>
      </w:r>
      <w:r w:rsidR="00565AD0">
        <w:rPr>
          <w:rFonts w:asciiTheme="minorHAnsi" w:hAnsiTheme="minorHAnsi"/>
          <w:sz w:val="22"/>
          <w:szCs w:val="22"/>
        </w:rPr>
        <w:t xml:space="preserve">this </w:t>
      </w:r>
      <w:r w:rsidR="00695671">
        <w:rPr>
          <w:rFonts w:asciiTheme="minorHAnsi" w:hAnsiTheme="minorHAnsi"/>
          <w:sz w:val="22"/>
          <w:szCs w:val="22"/>
        </w:rPr>
        <w:t>actually look</w:t>
      </w:r>
      <w:r w:rsidR="00017932">
        <w:rPr>
          <w:rFonts w:asciiTheme="minorHAnsi" w:hAnsiTheme="minorHAnsi"/>
          <w:sz w:val="22"/>
          <w:szCs w:val="22"/>
        </w:rPr>
        <w:t>s</w:t>
      </w:r>
      <w:r w:rsidR="00695671">
        <w:rPr>
          <w:rFonts w:asciiTheme="minorHAnsi" w:hAnsiTheme="minorHAnsi"/>
          <w:sz w:val="22"/>
          <w:szCs w:val="22"/>
        </w:rPr>
        <w:t xml:space="preserve"> like</w:t>
      </w:r>
      <w:r w:rsidR="002F6327" w:rsidRPr="007E2686">
        <w:rPr>
          <w:rFonts w:asciiTheme="minorHAnsi" w:hAnsiTheme="minorHAnsi"/>
          <w:sz w:val="22"/>
          <w:szCs w:val="22"/>
        </w:rPr>
        <w:t>.</w:t>
      </w:r>
    </w:p>
    <w:tbl>
      <w:tblPr>
        <w:tblStyle w:val="TableGrid"/>
        <w:tblW w:w="8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3663"/>
        <w:gridCol w:w="2542"/>
        <w:gridCol w:w="2482"/>
      </w:tblGrid>
      <w:tr w:rsidR="00605F3B" w14:paraId="06FDCA34" w14:textId="77777777" w:rsidTr="006960A3">
        <w:trPr>
          <w:trHeight w:val="2661"/>
        </w:trPr>
        <w:tc>
          <w:tcPr>
            <w:tcW w:w="0" w:type="auto"/>
          </w:tcPr>
          <w:p w14:paraId="3D9FCE95" w14:textId="77777777" w:rsidR="00605F3B" w:rsidRDefault="00605F3B" w:rsidP="00E060A3">
            <w:pPr>
              <w:pStyle w:val="NormalWeb"/>
              <w:tabs>
                <w:tab w:val="left" w:pos="7938"/>
              </w:tabs>
              <w:spacing w:after="0" w:afterAutospacing="0"/>
              <w:rPr>
                <w:rFonts w:asciiTheme="minorHAnsi" w:hAnsiTheme="minorHAnsi"/>
                <w:sz w:val="22"/>
                <w:szCs w:val="22"/>
              </w:rPr>
            </w:pPr>
            <w:r>
              <w:rPr>
                <w:noProof/>
              </w:rPr>
              <w:drawing>
                <wp:inline distT="0" distB="0" distL="0" distR="0" wp14:anchorId="6CF2CCC2" wp14:editId="04138000">
                  <wp:extent cx="1038225" cy="1773212"/>
                  <wp:effectExtent l="0" t="0" r="0" b="0"/>
                  <wp:docPr id="1784428786" name="Picture 2" descr="A portrait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ortrait of a perso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9551" cy="1809636"/>
                          </a:xfrm>
                          <a:prstGeom prst="rect">
                            <a:avLst/>
                          </a:prstGeom>
                          <a:noFill/>
                          <a:ln>
                            <a:noFill/>
                          </a:ln>
                        </pic:spPr>
                      </pic:pic>
                    </a:graphicData>
                  </a:graphic>
                </wp:inline>
              </w:drawing>
            </w:r>
          </w:p>
          <w:p w14:paraId="794B9AE2" w14:textId="28257FE6" w:rsidR="00EE2F56" w:rsidRDefault="00D94600" w:rsidP="00EA1FB3">
            <w:pPr>
              <w:jc w:val="both"/>
            </w:pPr>
            <w:r w:rsidRPr="00EE2F56">
              <w:rPr>
                <w:sz w:val="20"/>
                <w:szCs w:val="20"/>
              </w:rPr>
              <w:t xml:space="preserve">Hans Holbein, </w:t>
            </w:r>
            <w:r w:rsidRPr="00EE2F56">
              <w:rPr>
                <w:i/>
                <w:iCs/>
                <w:sz w:val="20"/>
                <w:szCs w:val="20"/>
              </w:rPr>
              <w:t>Amalia of Cleves</w:t>
            </w:r>
            <w:r w:rsidRPr="00EE2F56">
              <w:rPr>
                <w:sz w:val="20"/>
                <w:szCs w:val="20"/>
              </w:rPr>
              <w:t>, c 1539</w:t>
            </w:r>
          </w:p>
        </w:tc>
        <w:tc>
          <w:tcPr>
            <w:tcW w:w="0" w:type="auto"/>
          </w:tcPr>
          <w:p w14:paraId="6F6DE771" w14:textId="77777777" w:rsidR="00401B87" w:rsidRDefault="00401B87" w:rsidP="003227E7">
            <w:pPr>
              <w:pStyle w:val="NormalWeb"/>
              <w:tabs>
                <w:tab w:val="left" w:pos="7938"/>
              </w:tabs>
              <w:rPr>
                <w:noProof/>
              </w:rPr>
            </w:pPr>
          </w:p>
          <w:p w14:paraId="0209E69D" w14:textId="7CC4FF9C" w:rsidR="00605F3B" w:rsidRDefault="00605F3B" w:rsidP="00563741">
            <w:pPr>
              <w:pStyle w:val="NormalWeb"/>
              <w:tabs>
                <w:tab w:val="left" w:pos="7938"/>
              </w:tabs>
              <w:rPr>
                <w:rFonts w:asciiTheme="minorHAnsi" w:hAnsiTheme="minorHAnsi"/>
                <w:sz w:val="22"/>
                <w:szCs w:val="22"/>
              </w:rPr>
            </w:pPr>
            <w:r>
              <w:rPr>
                <w:noProof/>
              </w:rPr>
              <w:drawing>
                <wp:inline distT="0" distB="0" distL="0" distR="0" wp14:anchorId="4D8FAE86" wp14:editId="6AA249D8">
                  <wp:extent cx="1443748" cy="1037166"/>
                  <wp:effectExtent l="0" t="0" r="4445" b="0"/>
                  <wp:docPr id="1461191163" name="Picture 2" descr="A close up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6905" name="Picture 2" descr="A close up of a drawing&#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150" cy="1045357"/>
                          </a:xfrm>
                          <a:prstGeom prst="rect">
                            <a:avLst/>
                          </a:prstGeom>
                          <a:noFill/>
                          <a:ln>
                            <a:noFill/>
                          </a:ln>
                        </pic:spPr>
                      </pic:pic>
                    </a:graphicData>
                  </a:graphic>
                </wp:inline>
              </w:drawing>
            </w:r>
          </w:p>
          <w:p w14:paraId="6481C690" w14:textId="41A873F2" w:rsidR="00605F3B" w:rsidRPr="00BD4FF6" w:rsidRDefault="00605F3B" w:rsidP="00BF5C50">
            <w:pPr>
              <w:rPr>
                <w:sz w:val="20"/>
                <w:szCs w:val="20"/>
              </w:rPr>
            </w:pPr>
          </w:p>
        </w:tc>
        <w:tc>
          <w:tcPr>
            <w:tcW w:w="0" w:type="auto"/>
          </w:tcPr>
          <w:p w14:paraId="62153A98" w14:textId="77777777" w:rsidR="00605F3B" w:rsidRDefault="00605F3B" w:rsidP="003227E7">
            <w:pPr>
              <w:pStyle w:val="NormalWeb"/>
              <w:tabs>
                <w:tab w:val="left" w:pos="7938"/>
              </w:tabs>
              <w:rPr>
                <w:rFonts w:asciiTheme="minorHAnsi" w:hAnsiTheme="minorHAnsi"/>
                <w:sz w:val="22"/>
                <w:szCs w:val="22"/>
              </w:rPr>
            </w:pPr>
          </w:p>
          <w:p w14:paraId="21EE4A0A" w14:textId="77777777" w:rsidR="00543A60" w:rsidRDefault="00605F3B" w:rsidP="00543A60">
            <w:pPr>
              <w:pStyle w:val="NormalWeb"/>
              <w:tabs>
                <w:tab w:val="left" w:pos="7938"/>
              </w:tabs>
              <w:jc w:val="center"/>
              <w:rPr>
                <w:rFonts w:asciiTheme="minorHAnsi" w:hAnsiTheme="minorHAnsi"/>
                <w:sz w:val="22"/>
                <w:szCs w:val="22"/>
              </w:rPr>
            </w:pPr>
            <w:r>
              <w:rPr>
                <w:noProof/>
              </w:rPr>
              <w:drawing>
                <wp:inline distT="0" distB="0" distL="0" distR="0" wp14:anchorId="38E55FAC" wp14:editId="168AEC92">
                  <wp:extent cx="1410577" cy="1035363"/>
                  <wp:effectExtent l="0" t="0" r="0" b="0"/>
                  <wp:docPr id="1123668421" name="Picture 3" descr="A close up of a n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 up of a nos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2895" cy="1059084"/>
                          </a:xfrm>
                          <a:prstGeom prst="rect">
                            <a:avLst/>
                          </a:prstGeom>
                          <a:noFill/>
                          <a:ln>
                            <a:noFill/>
                          </a:ln>
                        </pic:spPr>
                      </pic:pic>
                    </a:graphicData>
                  </a:graphic>
                </wp:inline>
              </w:drawing>
            </w:r>
          </w:p>
          <w:p w14:paraId="61AB62E5" w14:textId="1FA70155" w:rsidR="00543A60" w:rsidRDefault="00543A60" w:rsidP="00543A60">
            <w:pPr>
              <w:pStyle w:val="NormalWeb"/>
              <w:tabs>
                <w:tab w:val="left" w:pos="7938"/>
              </w:tabs>
              <w:jc w:val="center"/>
              <w:rPr>
                <w:rFonts w:asciiTheme="minorHAnsi" w:hAnsiTheme="minorHAnsi"/>
                <w:sz w:val="22"/>
                <w:szCs w:val="22"/>
              </w:rPr>
            </w:pPr>
          </w:p>
        </w:tc>
      </w:tr>
    </w:tbl>
    <w:p w14:paraId="43EE40C8" w14:textId="77777777" w:rsidR="006960A3" w:rsidRDefault="006960A3" w:rsidP="00AE79C0">
      <w:pPr>
        <w:spacing w:after="0"/>
        <w:jc w:val="both"/>
      </w:pPr>
    </w:p>
    <w:p w14:paraId="3D4597B8" w14:textId="35EC43B5" w:rsidR="00F023AB" w:rsidRDefault="006D71CC" w:rsidP="002E234C">
      <w:pPr>
        <w:jc w:val="both"/>
      </w:pPr>
      <w:r>
        <w:t>T</w:t>
      </w:r>
      <w:r w:rsidR="00F023AB">
        <w:t xml:space="preserve">he middle image </w:t>
      </w:r>
      <w:r w:rsidR="00000822">
        <w:t xml:space="preserve">shows </w:t>
      </w:r>
      <w:r w:rsidR="002E234C">
        <w:t xml:space="preserve">a </w:t>
      </w:r>
      <w:r w:rsidR="00F023AB">
        <w:t xml:space="preserve">line which is </w:t>
      </w:r>
      <w:r w:rsidR="002E234C">
        <w:t xml:space="preserve">only </w:t>
      </w:r>
      <w:r w:rsidR="00F023AB">
        <w:t xml:space="preserve">seen as the subject's right shoulder when placed between </w:t>
      </w:r>
      <w:r w:rsidR="00CD3332">
        <w:t xml:space="preserve">the </w:t>
      </w:r>
      <w:r w:rsidR="00F023AB">
        <w:t>arm and the neck. The image on the right is an abstract line which we see as nostrils only because of the shading underneath giving it recognisably life-like volume.</w:t>
      </w:r>
      <w:r w:rsidR="002F6327">
        <w:t xml:space="preserve"> The line, </w:t>
      </w:r>
      <w:r w:rsidR="0099404D">
        <w:t xml:space="preserve">looked at </w:t>
      </w:r>
      <w:r w:rsidR="002F6327">
        <w:t xml:space="preserve">by itself, is </w:t>
      </w:r>
      <w:r w:rsidR="008C2EBD">
        <w:t>just a</w:t>
      </w:r>
      <w:r w:rsidR="00572605">
        <w:t xml:space="preserve"> line</w:t>
      </w:r>
      <w:r w:rsidR="002F6327">
        <w:t xml:space="preserve">. </w:t>
      </w:r>
    </w:p>
    <w:p w14:paraId="18B22EE3" w14:textId="391F8BE7" w:rsidR="003A28C6" w:rsidRPr="00660A09" w:rsidRDefault="006C65DE" w:rsidP="003A28C6">
      <w:pPr>
        <w:ind w:right="-46"/>
        <w:jc w:val="both"/>
      </w:pPr>
      <w:r>
        <w:t>E</w:t>
      </w:r>
      <w:r w:rsidR="00FF7A08">
        <w:t>xpanding her theme</w:t>
      </w:r>
      <w:r w:rsidR="00314A4A">
        <w:t xml:space="preserve"> (and likely referring to Greenberg)</w:t>
      </w:r>
      <w:r w:rsidR="00FF7A08">
        <w:t xml:space="preserve">, Riley </w:t>
      </w:r>
      <w:r w:rsidR="005B05A3">
        <w:t xml:space="preserve">refutes </w:t>
      </w:r>
      <w:r w:rsidR="009748C7">
        <w:t xml:space="preserve">‘the vain zealousness’ </w:t>
      </w:r>
      <w:r w:rsidR="008B65B8">
        <w:t xml:space="preserve">that ‘so haunted’ the debate around </w:t>
      </w:r>
      <w:r w:rsidR="008E036D">
        <w:t xml:space="preserve">pictorial space </w:t>
      </w:r>
      <w:r w:rsidR="00EE2A03">
        <w:t xml:space="preserve">or ‘flatness’ </w:t>
      </w:r>
      <w:r w:rsidR="004B1F43">
        <w:t xml:space="preserve">with such ‘moral fervour’ since the 1950s. </w:t>
      </w:r>
      <w:r w:rsidR="00697ABD">
        <w:t xml:space="preserve">The </w:t>
      </w:r>
      <w:r w:rsidR="005D7E0E">
        <w:t>pursuit</w:t>
      </w:r>
      <w:r w:rsidR="00697ABD">
        <w:t xml:space="preserve"> of ‘</w:t>
      </w:r>
      <w:r w:rsidR="005D7E0E">
        <w:t>f</w:t>
      </w:r>
      <w:r w:rsidR="00697ABD">
        <w:t xml:space="preserve">latness’ </w:t>
      </w:r>
      <w:r w:rsidR="00407E25">
        <w:t xml:space="preserve">in </w:t>
      </w:r>
      <w:r w:rsidR="00A71C30">
        <w:t xml:space="preserve">ideological </w:t>
      </w:r>
      <w:r w:rsidR="00407E25">
        <w:t xml:space="preserve">service to formalism </w:t>
      </w:r>
      <w:r w:rsidR="00697ABD">
        <w:t xml:space="preserve">is itself </w:t>
      </w:r>
      <w:r w:rsidR="00050378">
        <w:t xml:space="preserve">based on an </w:t>
      </w:r>
      <w:r w:rsidR="00697ABD">
        <w:t>illus</w:t>
      </w:r>
      <w:r w:rsidR="00050378">
        <w:t>ion</w:t>
      </w:r>
      <w:r w:rsidR="002171E1">
        <w:t>,</w:t>
      </w:r>
      <w:r w:rsidR="00050378">
        <w:t xml:space="preserve"> since </w:t>
      </w:r>
      <w:r w:rsidR="00146CFA">
        <w:t xml:space="preserve">it </w:t>
      </w:r>
      <w:r w:rsidR="00050378">
        <w:t xml:space="preserve">is, </w:t>
      </w:r>
      <w:r w:rsidR="00C836FD">
        <w:t>in fact</w:t>
      </w:r>
      <w:r w:rsidR="00050378">
        <w:t>,</w:t>
      </w:r>
      <w:r w:rsidR="00C836FD">
        <w:t xml:space="preserve"> impossible</w:t>
      </w:r>
      <w:r w:rsidR="006F7614">
        <w:t>:</w:t>
      </w:r>
      <w:r w:rsidR="00DE4A8E">
        <w:t xml:space="preserve"> ‘</w:t>
      </w:r>
      <w:r w:rsidR="00DE4A8E" w:rsidRPr="00786984">
        <w:t>a</w:t>
      </w:r>
      <w:r w:rsidR="005F7795" w:rsidRPr="00786984">
        <w:t>ny element that enters the picture plane</w:t>
      </w:r>
      <w:r w:rsidR="00170AA1" w:rsidRPr="00786984">
        <w:t xml:space="preserve">, be it a line, a spot of </w:t>
      </w:r>
      <w:r w:rsidR="00170AA1" w:rsidRPr="00786984">
        <w:lastRenderedPageBreak/>
        <w:t>colour or a tonal shade, is liable to create the sensations of depth</w:t>
      </w:r>
      <w:r w:rsidR="00786984" w:rsidRPr="00786984">
        <w:t>’</w:t>
      </w:r>
      <w:r w:rsidR="002F3153" w:rsidRPr="00786984">
        <w:t>.</w:t>
      </w:r>
      <w:r w:rsidR="00C455BB" w:rsidRPr="00786984">
        <w:rPr>
          <w:rStyle w:val="FootnoteReference"/>
        </w:rPr>
        <w:footnoteReference w:id="15"/>
      </w:r>
      <w:r w:rsidR="00786984">
        <w:t xml:space="preserve"> Klee had made this </w:t>
      </w:r>
      <w:r w:rsidR="00EF6E05">
        <w:t xml:space="preserve">point </w:t>
      </w:r>
      <w:r w:rsidR="00786984">
        <w:t>clear</w:t>
      </w:r>
      <w:r w:rsidR="00EF6E05">
        <w:t>ly</w:t>
      </w:r>
      <w:r w:rsidR="003A28C6">
        <w:t xml:space="preserve"> and</w:t>
      </w:r>
      <w:r w:rsidR="006C0895">
        <w:t xml:space="preserve"> it</w:t>
      </w:r>
      <w:r w:rsidR="003A28C6">
        <w:t xml:space="preserve"> was  precisely why he became so consumed by colour theory. </w:t>
      </w:r>
    </w:p>
    <w:p w14:paraId="4E7C5094" w14:textId="619D8A3E" w:rsidR="00C86AAC" w:rsidRDefault="00A31F67" w:rsidP="00BF76EB">
      <w:pPr>
        <w:ind w:left="720" w:right="804"/>
        <w:jc w:val="both"/>
        <w:rPr>
          <w:sz w:val="20"/>
          <w:szCs w:val="20"/>
        </w:rPr>
      </w:pPr>
      <w:r w:rsidRPr="00C455BB">
        <w:rPr>
          <w:sz w:val="20"/>
          <w:szCs w:val="20"/>
        </w:rPr>
        <w:t xml:space="preserve">The spatial character of the plane is imaginary. </w:t>
      </w:r>
      <w:r w:rsidR="0080445C">
        <w:rPr>
          <w:sz w:val="20"/>
          <w:szCs w:val="20"/>
        </w:rPr>
        <w:t>[</w:t>
      </w:r>
      <w:r w:rsidR="00F92BD9">
        <w:rPr>
          <w:sz w:val="20"/>
          <w:szCs w:val="20"/>
        </w:rPr>
        <w:t>T</w:t>
      </w:r>
      <w:r w:rsidRPr="00C455BB">
        <w:rPr>
          <w:sz w:val="20"/>
          <w:szCs w:val="20"/>
        </w:rPr>
        <w:t>he painter</w:t>
      </w:r>
      <w:r w:rsidR="00F92BD9">
        <w:rPr>
          <w:sz w:val="20"/>
          <w:szCs w:val="20"/>
        </w:rPr>
        <w:t xml:space="preserve">] </w:t>
      </w:r>
      <w:r w:rsidRPr="00C455BB">
        <w:rPr>
          <w:sz w:val="20"/>
          <w:szCs w:val="20"/>
        </w:rPr>
        <w:t>does not wish to treat the third dimension illusion</w:t>
      </w:r>
      <w:r w:rsidR="004D1D9E" w:rsidRPr="00C455BB">
        <w:rPr>
          <w:sz w:val="20"/>
          <w:szCs w:val="20"/>
        </w:rPr>
        <w:t>istically. Today a flat effect is often sought in painting</w:t>
      </w:r>
      <w:r w:rsidR="00BF76EB" w:rsidRPr="00C455BB">
        <w:rPr>
          <w:sz w:val="20"/>
          <w:szCs w:val="20"/>
        </w:rPr>
        <w:t>. But if different parts of the plane are given different values, it is hard to avoid a certain effect of depth’.</w:t>
      </w:r>
      <w:r w:rsidR="00BF76EB" w:rsidRPr="00C455BB">
        <w:rPr>
          <w:rStyle w:val="FootnoteReference"/>
          <w:sz w:val="20"/>
          <w:szCs w:val="20"/>
        </w:rPr>
        <w:footnoteReference w:id="16"/>
      </w:r>
    </w:p>
    <w:p w14:paraId="280D1153" w14:textId="3D40421C" w:rsidR="001623DD" w:rsidRPr="001623DD" w:rsidRDefault="001623DD" w:rsidP="001623DD">
      <w:pPr>
        <w:ind w:right="804"/>
        <w:jc w:val="both"/>
      </w:pPr>
      <w:r w:rsidRPr="001623DD">
        <w:t xml:space="preserve">The following image makes this point clear. </w:t>
      </w:r>
    </w:p>
    <w:p w14:paraId="1AF9D324" w14:textId="77777777" w:rsidR="00022221" w:rsidRDefault="00A341A2" w:rsidP="00E060A3">
      <w:pPr>
        <w:spacing w:after="0"/>
        <w:jc w:val="center"/>
      </w:pPr>
      <w:r>
        <w:rPr>
          <w:noProof/>
        </w:rPr>
        <w:drawing>
          <wp:inline distT="0" distB="0" distL="0" distR="0" wp14:anchorId="38B72D94" wp14:editId="5C8C82E5">
            <wp:extent cx="2363561" cy="2493325"/>
            <wp:effectExtent l="0" t="0" r="0" b="2540"/>
            <wp:docPr id="765434061" name="Picture 765434061" descr="A painting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34061" name="Picture 765434061" descr="A painting of a city&#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3421" cy="2514276"/>
                    </a:xfrm>
                    <a:prstGeom prst="rect">
                      <a:avLst/>
                    </a:prstGeom>
                    <a:noFill/>
                    <a:ln>
                      <a:noFill/>
                    </a:ln>
                  </pic:spPr>
                </pic:pic>
              </a:graphicData>
            </a:graphic>
          </wp:inline>
        </w:drawing>
      </w:r>
    </w:p>
    <w:p w14:paraId="26F23371" w14:textId="7E5B9897" w:rsidR="00AE15A1" w:rsidRPr="00022221" w:rsidRDefault="00784327" w:rsidP="00BA00D6">
      <w:pPr>
        <w:ind w:left="2160" w:firstLine="720"/>
        <w:rPr>
          <w:sz w:val="20"/>
          <w:szCs w:val="20"/>
        </w:rPr>
      </w:pPr>
      <w:r w:rsidRPr="00022221">
        <w:rPr>
          <w:sz w:val="20"/>
          <w:szCs w:val="20"/>
        </w:rPr>
        <w:t>Paul Klee,</w:t>
      </w:r>
      <w:r w:rsidR="00FA3406" w:rsidRPr="00022221">
        <w:rPr>
          <w:sz w:val="20"/>
          <w:szCs w:val="20"/>
        </w:rPr>
        <w:t xml:space="preserve"> </w:t>
      </w:r>
      <w:r w:rsidR="00FA3406" w:rsidRPr="00022221">
        <w:rPr>
          <w:i/>
          <w:iCs/>
          <w:sz w:val="20"/>
          <w:szCs w:val="20"/>
        </w:rPr>
        <w:t>Red and White Cupulas</w:t>
      </w:r>
      <w:r w:rsidR="00FA3406" w:rsidRPr="00022221">
        <w:rPr>
          <w:sz w:val="20"/>
          <w:szCs w:val="20"/>
        </w:rPr>
        <w:t>, 1914</w:t>
      </w:r>
      <w:r w:rsidR="00FA3406" w:rsidRPr="00022221">
        <w:rPr>
          <w:i/>
          <w:iCs/>
          <w:sz w:val="20"/>
          <w:szCs w:val="20"/>
        </w:rPr>
        <w:t xml:space="preserve"> </w:t>
      </w:r>
    </w:p>
    <w:p w14:paraId="1450B165" w14:textId="2254E28E" w:rsidR="00F719E7" w:rsidRDefault="002E39D3" w:rsidP="00C01294">
      <w:pPr>
        <w:pStyle w:val="NormalWeb"/>
        <w:jc w:val="both"/>
        <w:rPr>
          <w:rFonts w:asciiTheme="minorHAnsi" w:hAnsiTheme="minorHAnsi"/>
          <w:sz w:val="22"/>
          <w:szCs w:val="22"/>
        </w:rPr>
      </w:pPr>
      <w:r>
        <w:rPr>
          <w:rFonts w:asciiTheme="minorHAnsi" w:hAnsiTheme="minorHAnsi"/>
          <w:sz w:val="22"/>
          <w:szCs w:val="22"/>
        </w:rPr>
        <w:t xml:space="preserve">Colour and a few </w:t>
      </w:r>
      <w:r w:rsidR="007F45BB">
        <w:rPr>
          <w:rFonts w:asciiTheme="minorHAnsi" w:hAnsiTheme="minorHAnsi"/>
          <w:sz w:val="22"/>
          <w:szCs w:val="22"/>
        </w:rPr>
        <w:t xml:space="preserve">geometric </w:t>
      </w:r>
      <w:r>
        <w:rPr>
          <w:rFonts w:asciiTheme="minorHAnsi" w:hAnsiTheme="minorHAnsi"/>
          <w:sz w:val="22"/>
          <w:szCs w:val="22"/>
        </w:rPr>
        <w:t xml:space="preserve">lines are alone </w:t>
      </w:r>
      <w:r w:rsidR="00AD021D">
        <w:rPr>
          <w:rFonts w:asciiTheme="minorHAnsi" w:hAnsiTheme="minorHAnsi"/>
          <w:sz w:val="22"/>
          <w:szCs w:val="22"/>
        </w:rPr>
        <w:t xml:space="preserve">enough to </w:t>
      </w:r>
      <w:r w:rsidR="000015AC">
        <w:rPr>
          <w:rFonts w:asciiTheme="minorHAnsi" w:hAnsiTheme="minorHAnsi"/>
          <w:sz w:val="22"/>
          <w:szCs w:val="22"/>
        </w:rPr>
        <w:t>signify depth</w:t>
      </w:r>
      <w:r w:rsidR="00AD021D">
        <w:rPr>
          <w:rFonts w:asciiTheme="minorHAnsi" w:hAnsiTheme="minorHAnsi"/>
          <w:sz w:val="22"/>
          <w:szCs w:val="22"/>
        </w:rPr>
        <w:t xml:space="preserve"> and</w:t>
      </w:r>
      <w:r w:rsidR="00871148">
        <w:rPr>
          <w:rFonts w:asciiTheme="minorHAnsi" w:hAnsiTheme="minorHAnsi"/>
          <w:sz w:val="22"/>
          <w:szCs w:val="22"/>
        </w:rPr>
        <w:t xml:space="preserve"> </w:t>
      </w:r>
      <w:r w:rsidR="000015AC">
        <w:rPr>
          <w:rFonts w:asciiTheme="minorHAnsi" w:hAnsiTheme="minorHAnsi"/>
          <w:sz w:val="22"/>
          <w:szCs w:val="22"/>
        </w:rPr>
        <w:t>perspective.</w:t>
      </w:r>
      <w:r w:rsidR="00871148">
        <w:rPr>
          <w:rFonts w:asciiTheme="minorHAnsi" w:hAnsiTheme="minorHAnsi"/>
          <w:sz w:val="22"/>
          <w:szCs w:val="22"/>
        </w:rPr>
        <w:t xml:space="preserve"> </w:t>
      </w:r>
      <w:r w:rsidR="00B379E7">
        <w:rPr>
          <w:rFonts w:asciiTheme="minorHAnsi" w:hAnsiTheme="minorHAnsi"/>
          <w:sz w:val="22"/>
          <w:szCs w:val="22"/>
        </w:rPr>
        <w:t xml:space="preserve">As </w:t>
      </w:r>
      <w:r w:rsidR="0089407D">
        <w:rPr>
          <w:rFonts w:asciiTheme="minorHAnsi" w:hAnsiTheme="minorHAnsi"/>
          <w:sz w:val="22"/>
          <w:szCs w:val="22"/>
        </w:rPr>
        <w:t xml:space="preserve">Bridget </w:t>
      </w:r>
      <w:sdt>
        <w:sdtPr>
          <w:rPr>
            <w:rFonts w:asciiTheme="minorHAnsi" w:hAnsiTheme="minorHAnsi"/>
            <w:sz w:val="22"/>
            <w:szCs w:val="22"/>
          </w:rPr>
          <w:tag w:val="MENDELEY_CITATION_TEMP"/>
          <w:id w:val="-719122617"/>
          <w:placeholder>
            <w:docPart w:val="DefaultPlaceholder_-1854013440"/>
          </w:placeholder>
          <w15:appearance w15:val="hidden"/>
        </w:sdtPr>
        <w:sdtEndPr/>
        <w:sdtContent>
          <w:r w:rsidR="000C37F1">
            <w:rPr>
              <w:rFonts w:asciiTheme="minorHAnsi" w:hAnsiTheme="minorHAnsi"/>
              <w:sz w:val="22"/>
              <w:szCs w:val="22"/>
            </w:rPr>
            <w:t xml:space="preserve"> </w:t>
          </w:r>
        </w:sdtContent>
      </w:sdt>
      <w:r w:rsidR="00B379E7">
        <w:rPr>
          <w:rFonts w:asciiTheme="minorHAnsi" w:hAnsiTheme="minorHAnsi"/>
          <w:sz w:val="22"/>
          <w:szCs w:val="22"/>
        </w:rPr>
        <w:t>Riley argues,</w:t>
      </w:r>
      <w:r w:rsidR="00B165C0">
        <w:rPr>
          <w:rFonts w:asciiTheme="minorHAnsi" w:hAnsiTheme="minorHAnsi"/>
          <w:sz w:val="22"/>
          <w:szCs w:val="22"/>
        </w:rPr>
        <w:t xml:space="preserve"> </w:t>
      </w:r>
      <w:r w:rsidR="001C20B9">
        <w:rPr>
          <w:rFonts w:asciiTheme="minorHAnsi" w:hAnsiTheme="minorHAnsi"/>
          <w:sz w:val="22"/>
          <w:szCs w:val="22"/>
        </w:rPr>
        <w:t>the suggestion of buildings, vegetation and light and shade emerge from a simple grid</w:t>
      </w:r>
      <w:r w:rsidR="006F3D09">
        <w:rPr>
          <w:rFonts w:asciiTheme="minorHAnsi" w:hAnsiTheme="minorHAnsi"/>
          <w:sz w:val="22"/>
          <w:szCs w:val="22"/>
        </w:rPr>
        <w:t>.</w:t>
      </w:r>
      <w:r w:rsidR="00F26719">
        <w:rPr>
          <w:rStyle w:val="FootnoteReference"/>
          <w:rFonts w:asciiTheme="minorHAnsi" w:hAnsiTheme="minorHAnsi"/>
          <w:sz w:val="22"/>
          <w:szCs w:val="22"/>
        </w:rPr>
        <w:footnoteReference w:id="17"/>
      </w:r>
      <w:r w:rsidR="00C303B1">
        <w:rPr>
          <w:rFonts w:asciiTheme="minorHAnsi" w:hAnsiTheme="minorHAnsi"/>
          <w:sz w:val="22"/>
          <w:szCs w:val="22"/>
        </w:rPr>
        <w:t xml:space="preserve"> Klee </w:t>
      </w:r>
      <w:r w:rsidR="006F3D09">
        <w:rPr>
          <w:rFonts w:asciiTheme="minorHAnsi" w:hAnsiTheme="minorHAnsi"/>
          <w:sz w:val="22"/>
          <w:szCs w:val="22"/>
        </w:rPr>
        <w:t xml:space="preserve">understood </w:t>
      </w:r>
      <w:r w:rsidR="00295AE6">
        <w:rPr>
          <w:rFonts w:asciiTheme="minorHAnsi" w:hAnsiTheme="minorHAnsi"/>
          <w:sz w:val="22"/>
          <w:szCs w:val="22"/>
        </w:rPr>
        <w:t xml:space="preserve">that </w:t>
      </w:r>
      <w:r w:rsidR="006F3D09">
        <w:rPr>
          <w:rFonts w:asciiTheme="minorHAnsi" w:hAnsiTheme="minorHAnsi"/>
          <w:sz w:val="22"/>
          <w:szCs w:val="22"/>
        </w:rPr>
        <w:t>‘</w:t>
      </w:r>
      <w:r w:rsidR="00295AE6">
        <w:rPr>
          <w:rFonts w:asciiTheme="minorHAnsi" w:hAnsiTheme="minorHAnsi"/>
          <w:sz w:val="22"/>
          <w:szCs w:val="22"/>
        </w:rPr>
        <w:t>a painting begins solely wit</w:t>
      </w:r>
      <w:r w:rsidR="008E38FF">
        <w:rPr>
          <w:rFonts w:asciiTheme="minorHAnsi" w:hAnsiTheme="minorHAnsi"/>
          <w:sz w:val="22"/>
          <w:szCs w:val="22"/>
        </w:rPr>
        <w:t>h a few lines and marks … and the harmonisation of a few colours and tonalities’.</w:t>
      </w:r>
      <w:r w:rsidR="0089407D">
        <w:rPr>
          <w:rStyle w:val="FootnoteReference"/>
          <w:rFonts w:asciiTheme="minorHAnsi" w:hAnsiTheme="minorHAnsi"/>
          <w:sz w:val="22"/>
          <w:szCs w:val="22"/>
        </w:rPr>
        <w:footnoteReference w:id="18"/>
      </w:r>
      <w:r w:rsidR="002D3CBC">
        <w:rPr>
          <w:rFonts w:asciiTheme="minorHAnsi" w:hAnsiTheme="minorHAnsi"/>
          <w:sz w:val="22"/>
          <w:szCs w:val="22"/>
        </w:rPr>
        <w:t xml:space="preserve"> </w:t>
      </w:r>
      <w:r w:rsidR="00F719E7">
        <w:rPr>
          <w:rFonts w:asciiTheme="minorHAnsi" w:hAnsiTheme="minorHAnsi"/>
          <w:sz w:val="22"/>
          <w:szCs w:val="22"/>
        </w:rPr>
        <w:t xml:space="preserve">If an image resembled a natural object, such as in </w:t>
      </w:r>
      <w:r w:rsidR="00F719E7">
        <w:rPr>
          <w:rFonts w:asciiTheme="minorHAnsi" w:hAnsiTheme="minorHAnsi"/>
          <w:i/>
          <w:iCs/>
          <w:sz w:val="22"/>
          <w:szCs w:val="22"/>
        </w:rPr>
        <w:t>Spiral Screw Flowers</w:t>
      </w:r>
      <w:r w:rsidR="00E060A3">
        <w:rPr>
          <w:rFonts w:asciiTheme="minorHAnsi" w:hAnsiTheme="minorHAnsi"/>
          <w:sz w:val="22"/>
          <w:szCs w:val="22"/>
        </w:rPr>
        <w:t xml:space="preserve"> (1932)</w:t>
      </w:r>
      <w:r w:rsidR="00F719E7">
        <w:rPr>
          <w:rFonts w:asciiTheme="minorHAnsi" w:hAnsiTheme="minorHAnsi"/>
          <w:sz w:val="22"/>
          <w:szCs w:val="22"/>
        </w:rPr>
        <w:t xml:space="preserve">, this was because it was composed of a universal geometry. His philosophy of art was summarised concisely in his translator’s Introduction to his </w:t>
      </w:r>
      <w:r w:rsidR="00F719E7">
        <w:rPr>
          <w:rFonts w:asciiTheme="minorHAnsi" w:hAnsiTheme="minorHAnsi"/>
          <w:i/>
          <w:iCs/>
          <w:sz w:val="22"/>
          <w:szCs w:val="22"/>
        </w:rPr>
        <w:t>Pedagogical Sketchbook</w:t>
      </w:r>
      <w:r w:rsidR="00F719E7">
        <w:rPr>
          <w:rFonts w:asciiTheme="minorHAnsi" w:hAnsiTheme="minorHAnsi"/>
          <w:sz w:val="22"/>
          <w:szCs w:val="22"/>
        </w:rPr>
        <w:t>:</w:t>
      </w:r>
    </w:p>
    <w:p w14:paraId="76B22806" w14:textId="77777777" w:rsidR="00F719E7" w:rsidRDefault="00F719E7" w:rsidP="00F719E7">
      <w:pPr>
        <w:pStyle w:val="NormalWeb"/>
        <w:ind w:left="720" w:right="804"/>
        <w:jc w:val="both"/>
        <w:rPr>
          <w:rFonts w:asciiTheme="minorHAnsi" w:hAnsiTheme="minorHAnsi"/>
          <w:sz w:val="20"/>
          <w:szCs w:val="20"/>
        </w:rPr>
      </w:pPr>
      <w:r w:rsidRPr="00121357">
        <w:rPr>
          <w:rFonts w:asciiTheme="minorHAnsi" w:hAnsiTheme="minorHAnsi"/>
          <w:sz w:val="20"/>
          <w:szCs w:val="20"/>
        </w:rPr>
        <w:t>[his] forms are derived from nature, inspired by observation of shape and cyclic change but their appearance only matters in so far as it symbolises an inner actuality that receives meaning from its relationship to the cosmos</w:t>
      </w:r>
      <w:r>
        <w:rPr>
          <w:rFonts w:asciiTheme="minorHAnsi" w:hAnsiTheme="minorHAnsi"/>
          <w:sz w:val="20"/>
          <w:szCs w:val="20"/>
        </w:rPr>
        <w:t>.</w:t>
      </w:r>
      <w:r>
        <w:rPr>
          <w:rStyle w:val="FootnoteReference"/>
          <w:rFonts w:asciiTheme="minorHAnsi" w:hAnsiTheme="minorHAnsi"/>
          <w:sz w:val="20"/>
          <w:szCs w:val="20"/>
        </w:rPr>
        <w:footnoteReference w:id="19"/>
      </w:r>
    </w:p>
    <w:p w14:paraId="52D774F6" w14:textId="01FC2424" w:rsidR="00E436CA" w:rsidRPr="00BA00D6" w:rsidRDefault="004C6FCD" w:rsidP="004F2762">
      <w:pPr>
        <w:pStyle w:val="NormalWeb"/>
        <w:jc w:val="both"/>
        <w:rPr>
          <w:rFonts w:asciiTheme="minorHAnsi" w:hAnsiTheme="minorHAnsi"/>
          <w:sz w:val="20"/>
          <w:szCs w:val="20"/>
        </w:rPr>
      </w:pPr>
      <w:r>
        <w:rPr>
          <w:rFonts w:asciiTheme="minorHAnsi" w:hAnsiTheme="minorHAnsi"/>
          <w:sz w:val="22"/>
          <w:szCs w:val="22"/>
        </w:rPr>
        <w:t xml:space="preserve">Far from being </w:t>
      </w:r>
      <w:r w:rsidR="004F2762">
        <w:rPr>
          <w:rFonts w:asciiTheme="minorHAnsi" w:hAnsiTheme="minorHAnsi"/>
          <w:sz w:val="22"/>
          <w:szCs w:val="22"/>
        </w:rPr>
        <w:t xml:space="preserve">like </w:t>
      </w:r>
      <w:r w:rsidR="00691B76">
        <w:rPr>
          <w:rFonts w:asciiTheme="minorHAnsi" w:hAnsiTheme="minorHAnsi"/>
          <w:sz w:val="22"/>
          <w:szCs w:val="22"/>
        </w:rPr>
        <w:t xml:space="preserve">the work of a child or naif, </w:t>
      </w:r>
      <w:r w:rsidR="005571D7">
        <w:rPr>
          <w:rFonts w:asciiTheme="minorHAnsi" w:hAnsiTheme="minorHAnsi"/>
          <w:sz w:val="22"/>
          <w:szCs w:val="22"/>
        </w:rPr>
        <w:t xml:space="preserve">Klee </w:t>
      </w:r>
      <w:r w:rsidR="00CD3921">
        <w:rPr>
          <w:rFonts w:asciiTheme="minorHAnsi" w:hAnsiTheme="minorHAnsi"/>
          <w:sz w:val="22"/>
          <w:szCs w:val="22"/>
        </w:rPr>
        <w:t xml:space="preserve">devised </w:t>
      </w:r>
      <w:r w:rsidR="00C34CE4">
        <w:rPr>
          <w:rFonts w:asciiTheme="minorHAnsi" w:hAnsiTheme="minorHAnsi"/>
          <w:sz w:val="22"/>
          <w:szCs w:val="22"/>
        </w:rPr>
        <w:t xml:space="preserve">a carefully </w:t>
      </w:r>
      <w:r w:rsidR="00CD3921">
        <w:rPr>
          <w:rFonts w:asciiTheme="minorHAnsi" w:hAnsiTheme="minorHAnsi"/>
          <w:sz w:val="22"/>
          <w:szCs w:val="22"/>
        </w:rPr>
        <w:t xml:space="preserve">analysed </w:t>
      </w:r>
      <w:r w:rsidR="00C34CE4">
        <w:rPr>
          <w:rFonts w:asciiTheme="minorHAnsi" w:hAnsiTheme="minorHAnsi"/>
          <w:sz w:val="22"/>
          <w:szCs w:val="22"/>
        </w:rPr>
        <w:t xml:space="preserve">system of </w:t>
      </w:r>
      <w:r w:rsidR="00CD3921">
        <w:rPr>
          <w:rFonts w:asciiTheme="minorHAnsi" w:hAnsiTheme="minorHAnsi"/>
          <w:sz w:val="22"/>
          <w:szCs w:val="22"/>
        </w:rPr>
        <w:t xml:space="preserve">expressing, in pictorial form, his </w:t>
      </w:r>
      <w:r w:rsidR="00252258">
        <w:rPr>
          <w:rFonts w:asciiTheme="minorHAnsi" w:hAnsiTheme="minorHAnsi"/>
          <w:sz w:val="22"/>
          <w:szCs w:val="22"/>
        </w:rPr>
        <w:t xml:space="preserve">understanding of the relationship between the seen and unseen, </w:t>
      </w:r>
      <w:r w:rsidR="005C2569">
        <w:rPr>
          <w:rFonts w:asciiTheme="minorHAnsi" w:hAnsiTheme="minorHAnsi"/>
          <w:sz w:val="22"/>
          <w:szCs w:val="22"/>
        </w:rPr>
        <w:t xml:space="preserve">and </w:t>
      </w:r>
      <w:r w:rsidR="00252258">
        <w:rPr>
          <w:rFonts w:asciiTheme="minorHAnsi" w:hAnsiTheme="minorHAnsi"/>
          <w:sz w:val="22"/>
          <w:szCs w:val="22"/>
        </w:rPr>
        <w:t>between that which we see and that which we sense</w:t>
      </w:r>
      <w:r w:rsidR="005C2569">
        <w:rPr>
          <w:rFonts w:asciiTheme="minorHAnsi" w:hAnsiTheme="minorHAnsi"/>
          <w:sz w:val="22"/>
          <w:szCs w:val="22"/>
        </w:rPr>
        <w:t xml:space="preserve">. If the results were beautiful or decorative, this was </w:t>
      </w:r>
      <w:r w:rsidR="00806C69">
        <w:rPr>
          <w:rFonts w:asciiTheme="minorHAnsi" w:hAnsiTheme="minorHAnsi"/>
          <w:sz w:val="22"/>
          <w:szCs w:val="22"/>
        </w:rPr>
        <w:t xml:space="preserve">simply </w:t>
      </w:r>
      <w:r w:rsidR="003A7CD0">
        <w:rPr>
          <w:rFonts w:asciiTheme="minorHAnsi" w:hAnsiTheme="minorHAnsi"/>
          <w:sz w:val="22"/>
          <w:szCs w:val="22"/>
        </w:rPr>
        <w:t xml:space="preserve">to express the </w:t>
      </w:r>
      <w:r w:rsidR="00806C69">
        <w:rPr>
          <w:rFonts w:asciiTheme="minorHAnsi" w:hAnsiTheme="minorHAnsi"/>
          <w:sz w:val="22"/>
          <w:szCs w:val="22"/>
        </w:rPr>
        <w:t>truth</w:t>
      </w:r>
      <w:r w:rsidR="003A7CD0">
        <w:rPr>
          <w:rFonts w:asciiTheme="minorHAnsi" w:hAnsiTheme="minorHAnsi"/>
          <w:sz w:val="22"/>
          <w:szCs w:val="22"/>
        </w:rPr>
        <w:t xml:space="preserve"> of natural forms</w:t>
      </w:r>
      <w:r w:rsidR="00E62158">
        <w:rPr>
          <w:rFonts w:asciiTheme="minorHAnsi" w:hAnsiTheme="minorHAnsi"/>
          <w:sz w:val="22"/>
          <w:szCs w:val="22"/>
        </w:rPr>
        <w:t xml:space="preserve"> since ‘</w:t>
      </w:r>
      <w:r w:rsidR="003A4722">
        <w:rPr>
          <w:rFonts w:asciiTheme="minorHAnsi" w:hAnsiTheme="minorHAnsi"/>
          <w:sz w:val="22"/>
          <w:szCs w:val="22"/>
        </w:rPr>
        <w:t>[</w:t>
      </w:r>
      <w:r w:rsidR="009C2237">
        <w:rPr>
          <w:rFonts w:asciiTheme="minorHAnsi" w:hAnsiTheme="minorHAnsi"/>
          <w:sz w:val="22"/>
          <w:szCs w:val="22"/>
        </w:rPr>
        <w:t>f]</w:t>
      </w:r>
      <w:r w:rsidR="0024608D">
        <w:rPr>
          <w:rFonts w:asciiTheme="minorHAnsi" w:hAnsiTheme="minorHAnsi"/>
          <w:sz w:val="22"/>
          <w:szCs w:val="22"/>
        </w:rPr>
        <w:t>or the artist, communication with nature remains the most essential cond</w:t>
      </w:r>
      <w:r w:rsidR="00875E37">
        <w:rPr>
          <w:rFonts w:asciiTheme="minorHAnsi" w:hAnsiTheme="minorHAnsi"/>
          <w:sz w:val="22"/>
          <w:szCs w:val="22"/>
        </w:rPr>
        <w:t>i</w:t>
      </w:r>
      <w:r w:rsidR="0024608D">
        <w:rPr>
          <w:rFonts w:asciiTheme="minorHAnsi" w:hAnsiTheme="minorHAnsi"/>
          <w:sz w:val="22"/>
          <w:szCs w:val="22"/>
        </w:rPr>
        <w:t>tion.</w:t>
      </w:r>
      <w:r w:rsidR="009C2237">
        <w:rPr>
          <w:rFonts w:asciiTheme="minorHAnsi" w:hAnsiTheme="minorHAnsi"/>
          <w:sz w:val="22"/>
          <w:szCs w:val="22"/>
        </w:rPr>
        <w:t>’</w:t>
      </w:r>
      <w:r w:rsidR="009C2237">
        <w:rPr>
          <w:rStyle w:val="FootnoteReference"/>
          <w:rFonts w:asciiTheme="minorHAnsi" w:hAnsiTheme="minorHAnsi"/>
          <w:sz w:val="22"/>
          <w:szCs w:val="22"/>
        </w:rPr>
        <w:footnoteReference w:id="20"/>
      </w:r>
      <w:r w:rsidR="0024608D">
        <w:rPr>
          <w:rFonts w:asciiTheme="minorHAnsi" w:hAnsiTheme="minorHAnsi"/>
          <w:sz w:val="22"/>
          <w:szCs w:val="22"/>
        </w:rPr>
        <w:t xml:space="preserve"> </w:t>
      </w:r>
      <w:r w:rsidR="00822DAC">
        <w:t xml:space="preserve"> </w:t>
      </w:r>
    </w:p>
    <w:sectPr w:rsidR="00E436CA" w:rsidRPr="00BA00D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306F" w14:textId="77777777" w:rsidR="00843B0E" w:rsidRDefault="00843B0E" w:rsidP="00602ADF">
      <w:pPr>
        <w:spacing w:after="0" w:line="240" w:lineRule="auto"/>
      </w:pPr>
      <w:r>
        <w:separator/>
      </w:r>
    </w:p>
  </w:endnote>
  <w:endnote w:type="continuationSeparator" w:id="0">
    <w:p w14:paraId="11171E6C" w14:textId="77777777" w:rsidR="00843B0E" w:rsidRDefault="00843B0E" w:rsidP="0060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283009"/>
      <w:docPartObj>
        <w:docPartGallery w:val="Page Numbers (Bottom of Page)"/>
        <w:docPartUnique/>
      </w:docPartObj>
    </w:sdtPr>
    <w:sdtEndPr>
      <w:rPr>
        <w:noProof/>
        <w:sz w:val="18"/>
        <w:szCs w:val="18"/>
      </w:rPr>
    </w:sdtEndPr>
    <w:sdtContent>
      <w:p w14:paraId="3718426A" w14:textId="21C7FF8A" w:rsidR="00502820" w:rsidRPr="000645BD" w:rsidRDefault="00502820">
        <w:pPr>
          <w:pStyle w:val="Footer"/>
          <w:jc w:val="center"/>
          <w:rPr>
            <w:sz w:val="18"/>
            <w:szCs w:val="18"/>
          </w:rPr>
        </w:pPr>
        <w:r w:rsidRPr="000645BD">
          <w:rPr>
            <w:sz w:val="18"/>
            <w:szCs w:val="18"/>
          </w:rPr>
          <w:fldChar w:fldCharType="begin"/>
        </w:r>
        <w:r w:rsidRPr="000645BD">
          <w:rPr>
            <w:sz w:val="18"/>
            <w:szCs w:val="18"/>
          </w:rPr>
          <w:instrText xml:space="preserve"> PAGE   \* MERGEFORMAT </w:instrText>
        </w:r>
        <w:r w:rsidRPr="000645BD">
          <w:rPr>
            <w:sz w:val="18"/>
            <w:szCs w:val="18"/>
          </w:rPr>
          <w:fldChar w:fldCharType="separate"/>
        </w:r>
        <w:r w:rsidRPr="000645BD">
          <w:rPr>
            <w:noProof/>
            <w:sz w:val="18"/>
            <w:szCs w:val="18"/>
          </w:rPr>
          <w:t>2</w:t>
        </w:r>
        <w:r w:rsidRPr="000645BD">
          <w:rPr>
            <w:noProof/>
            <w:sz w:val="18"/>
            <w:szCs w:val="18"/>
          </w:rPr>
          <w:fldChar w:fldCharType="end"/>
        </w:r>
      </w:p>
    </w:sdtContent>
  </w:sdt>
  <w:p w14:paraId="5D04C658" w14:textId="77777777" w:rsidR="00502820" w:rsidRDefault="00502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737D4" w14:textId="77777777" w:rsidR="00843B0E" w:rsidRDefault="00843B0E" w:rsidP="00602ADF">
      <w:pPr>
        <w:spacing w:after="0" w:line="240" w:lineRule="auto"/>
      </w:pPr>
      <w:r>
        <w:separator/>
      </w:r>
    </w:p>
  </w:footnote>
  <w:footnote w:type="continuationSeparator" w:id="0">
    <w:p w14:paraId="148010DD" w14:textId="77777777" w:rsidR="00843B0E" w:rsidRDefault="00843B0E" w:rsidP="00602ADF">
      <w:pPr>
        <w:spacing w:after="0" w:line="240" w:lineRule="auto"/>
      </w:pPr>
      <w:r>
        <w:continuationSeparator/>
      </w:r>
    </w:p>
  </w:footnote>
  <w:footnote w:id="1">
    <w:p w14:paraId="6F1044DB" w14:textId="786469DC" w:rsidR="00747660" w:rsidRPr="00102107" w:rsidRDefault="00747660">
      <w:pPr>
        <w:pStyle w:val="FootnoteText"/>
      </w:pPr>
      <w:r>
        <w:rPr>
          <w:rStyle w:val="FootnoteReference"/>
        </w:rPr>
        <w:footnoteRef/>
      </w:r>
      <w:r>
        <w:t xml:space="preserve"> </w:t>
      </w:r>
      <w:r w:rsidR="00DC79EF">
        <w:t>For multiple examples, s</w:t>
      </w:r>
      <w:r>
        <w:t>ee Hodge S, (</w:t>
      </w:r>
      <w:r w:rsidR="00102107">
        <w:t xml:space="preserve">2012) </w:t>
      </w:r>
      <w:r w:rsidR="00102107">
        <w:rPr>
          <w:i/>
          <w:iCs/>
        </w:rPr>
        <w:t>Why Your Five Year Old Child Could Not Have Done That</w:t>
      </w:r>
      <w:r w:rsidR="00DC79EF">
        <w:t>. Thames and Hudson.</w:t>
      </w:r>
    </w:p>
  </w:footnote>
  <w:footnote w:id="2">
    <w:p w14:paraId="634CC361" w14:textId="4112B644" w:rsidR="00330F1B" w:rsidRDefault="00330F1B">
      <w:pPr>
        <w:pStyle w:val="FootnoteText"/>
      </w:pPr>
      <w:r>
        <w:rPr>
          <w:rStyle w:val="FootnoteReference"/>
        </w:rPr>
        <w:footnoteRef/>
      </w:r>
      <w:r w:rsidR="006C1B5E">
        <w:t xml:space="preserve">This statement is frequently </w:t>
      </w:r>
      <w:r w:rsidR="00554FBA">
        <w:t>quoted and misquoted; a correct attribution is nearly impossible to find.</w:t>
      </w:r>
    </w:p>
  </w:footnote>
  <w:footnote w:id="3">
    <w:p w14:paraId="3A9DF503" w14:textId="3963D48F" w:rsidR="0035592E" w:rsidRDefault="0035592E">
      <w:pPr>
        <w:pStyle w:val="FootnoteText"/>
      </w:pPr>
      <w:r>
        <w:rPr>
          <w:rStyle w:val="FootnoteReference"/>
        </w:rPr>
        <w:footnoteRef/>
      </w:r>
      <w:r w:rsidR="00775F5B">
        <w:t xml:space="preserve">Cited by </w:t>
      </w:r>
      <w:r w:rsidR="00FF0B74">
        <w:t xml:space="preserve">Partsch, S (2003) </w:t>
      </w:r>
      <w:r w:rsidR="00896F56">
        <w:rPr>
          <w:i/>
          <w:iCs/>
        </w:rPr>
        <w:t>Klee</w:t>
      </w:r>
      <w:r w:rsidR="00896F56">
        <w:t xml:space="preserve">. Taschen, p </w:t>
      </w:r>
      <w:r w:rsidR="00745846">
        <w:t>18.</w:t>
      </w:r>
      <w:r>
        <w:t xml:space="preserve"> </w:t>
      </w:r>
    </w:p>
  </w:footnote>
  <w:footnote w:id="4">
    <w:p w14:paraId="1B3D80FC" w14:textId="0B9FCF5F" w:rsidR="00EB6095" w:rsidRPr="00F979B5" w:rsidRDefault="00EB6095" w:rsidP="00EB6095">
      <w:pPr>
        <w:pStyle w:val="FootnoteText"/>
      </w:pPr>
      <w:r>
        <w:rPr>
          <w:rStyle w:val="FootnoteReference"/>
        </w:rPr>
        <w:footnoteRef/>
      </w:r>
      <w:r>
        <w:t xml:space="preserve"> Gombrich E H (19</w:t>
      </w:r>
      <w:r w:rsidR="00AF1D9B">
        <w:t>78</w:t>
      </w:r>
      <w:r>
        <w:t xml:space="preserve">) </w:t>
      </w:r>
      <w:r>
        <w:rPr>
          <w:i/>
          <w:iCs/>
        </w:rPr>
        <w:t>The Story of Art</w:t>
      </w:r>
      <w:r w:rsidR="0072282E">
        <w:t>.</w:t>
      </w:r>
      <w:r>
        <w:t xml:space="preserve"> </w:t>
      </w:r>
      <w:r w:rsidR="00AF1D9B">
        <w:t>13</w:t>
      </w:r>
      <w:r w:rsidR="00AF1D9B" w:rsidRPr="00AF1D9B">
        <w:rPr>
          <w:vertAlign w:val="superscript"/>
        </w:rPr>
        <w:t>th</w:t>
      </w:r>
      <w:r w:rsidR="00AF1D9B">
        <w:t xml:space="preserve"> </w:t>
      </w:r>
      <w:proofErr w:type="spellStart"/>
      <w:r w:rsidR="00AF1D9B">
        <w:t>edn</w:t>
      </w:r>
      <w:proofErr w:type="spellEnd"/>
      <w:r w:rsidR="00AF1D9B">
        <w:t xml:space="preserve"> </w:t>
      </w:r>
      <w:r>
        <w:t>Phaidon</w:t>
      </w:r>
      <w:r w:rsidR="0072282E">
        <w:t>, p 464.</w:t>
      </w:r>
    </w:p>
  </w:footnote>
  <w:footnote w:id="5">
    <w:p w14:paraId="191B7C1A" w14:textId="7B91FD46" w:rsidR="008F1FC7" w:rsidRPr="00586ADF" w:rsidRDefault="008F1FC7" w:rsidP="008F1FC7">
      <w:pPr>
        <w:pStyle w:val="FootnoteText"/>
      </w:pPr>
      <w:r>
        <w:rPr>
          <w:rStyle w:val="FootnoteReference"/>
        </w:rPr>
        <w:footnoteRef/>
      </w:r>
      <w:r>
        <w:t xml:space="preserve"> </w:t>
      </w:r>
      <w:r w:rsidR="00586ADF">
        <w:rPr>
          <w:i/>
          <w:iCs/>
        </w:rPr>
        <w:t>Ibid</w:t>
      </w:r>
      <w:r w:rsidR="00586ADF">
        <w:t>.</w:t>
      </w:r>
    </w:p>
  </w:footnote>
  <w:footnote w:id="6">
    <w:p w14:paraId="0C5CD6BB" w14:textId="55EB1E15" w:rsidR="00602ADF" w:rsidRPr="007304BB" w:rsidRDefault="00602ADF" w:rsidP="00586ADF">
      <w:pPr>
        <w:pStyle w:val="FootnoteText"/>
        <w:jc w:val="both"/>
      </w:pPr>
      <w:r>
        <w:rPr>
          <w:rStyle w:val="FootnoteReference"/>
        </w:rPr>
        <w:footnoteRef/>
      </w:r>
      <w:r>
        <w:t xml:space="preserve"> For example, </w:t>
      </w:r>
      <w:r w:rsidRPr="007304BB">
        <w:rPr>
          <w:rFonts w:cs="Arial"/>
          <w:color w:val="1A1A1A"/>
          <w:shd w:val="clear" w:color="auto" w:fill="FFFFFF"/>
        </w:rPr>
        <w:t>T.J. Clark</w:t>
      </w:r>
      <w:r w:rsidR="007304BB" w:rsidRPr="007304BB">
        <w:rPr>
          <w:rFonts w:cs="Arial"/>
          <w:color w:val="1A1A1A"/>
          <w:shd w:val="clear" w:color="auto" w:fill="FFFFFF"/>
        </w:rPr>
        <w:t xml:space="preserve"> </w:t>
      </w:r>
      <w:r w:rsidR="00D546D5">
        <w:rPr>
          <w:rFonts w:cs="Arial"/>
          <w:color w:val="1A1A1A"/>
          <w:shd w:val="clear" w:color="auto" w:fill="FFFFFF"/>
        </w:rPr>
        <w:t xml:space="preserve">(1999) </w:t>
      </w:r>
      <w:r w:rsidRPr="007304BB">
        <w:rPr>
          <w:rStyle w:val="Emphasis"/>
          <w:rFonts w:cs="Arial"/>
          <w:color w:val="1A1A1A"/>
          <w:shd w:val="clear" w:color="auto" w:fill="FFFFFF"/>
        </w:rPr>
        <w:t>Farewell to an Idea: Episodes from a History of Modernism</w:t>
      </w:r>
      <w:r w:rsidR="00D546D5">
        <w:rPr>
          <w:rStyle w:val="Emphasis"/>
          <w:rFonts w:cs="Arial"/>
          <w:i w:val="0"/>
          <w:iCs w:val="0"/>
          <w:color w:val="1A1A1A"/>
          <w:shd w:val="clear" w:color="auto" w:fill="FFFFFF"/>
        </w:rPr>
        <w:t>. Yale</w:t>
      </w:r>
      <w:r w:rsidRPr="007304BB">
        <w:rPr>
          <w:rFonts w:cs="Arial"/>
          <w:color w:val="1A1A1A"/>
          <w:shd w:val="clear" w:color="auto" w:fill="FFFFFF"/>
        </w:rPr>
        <w:t>, p.397.</w:t>
      </w:r>
      <w:r w:rsidR="00BC4941">
        <w:rPr>
          <w:rFonts w:cs="Arial"/>
          <w:color w:val="1A1A1A"/>
          <w:shd w:val="clear" w:color="auto" w:fill="FFFFFF"/>
        </w:rPr>
        <w:t xml:space="preserve"> </w:t>
      </w:r>
    </w:p>
  </w:footnote>
  <w:footnote w:id="7">
    <w:p w14:paraId="78FB131D" w14:textId="68E00152" w:rsidR="00BB6ACC" w:rsidRPr="00DD021F" w:rsidRDefault="00BB6ACC" w:rsidP="005B3A3C">
      <w:pPr>
        <w:pStyle w:val="FootnoteText"/>
        <w:jc w:val="both"/>
      </w:pPr>
      <w:r>
        <w:rPr>
          <w:rStyle w:val="FootnoteReference"/>
        </w:rPr>
        <w:footnoteRef/>
      </w:r>
      <w:r>
        <w:t xml:space="preserve"> </w:t>
      </w:r>
      <w:r w:rsidR="0021023D">
        <w:t xml:space="preserve">Clement Greenberg, </w:t>
      </w:r>
      <w:r w:rsidR="006553F6">
        <w:t xml:space="preserve">‘Review of Exhibitions of Joan Miro, Fernard Leger and Vassily Kandinsky’ </w:t>
      </w:r>
      <w:r w:rsidR="004109EB">
        <w:t xml:space="preserve">(1941), in </w:t>
      </w:r>
      <w:r w:rsidR="004109EB">
        <w:rPr>
          <w:i/>
          <w:iCs/>
        </w:rPr>
        <w:t>Perceptions and Judgements</w:t>
      </w:r>
      <w:r w:rsidR="004109EB">
        <w:t xml:space="preserve"> </w:t>
      </w:r>
      <w:r w:rsidR="009366A9">
        <w:t xml:space="preserve">p 64. </w:t>
      </w:r>
      <w:r w:rsidR="00F82CDF">
        <w:t>His view changed from time to time a</w:t>
      </w:r>
      <w:r w:rsidR="00EA718A">
        <w:t>nd</w:t>
      </w:r>
      <w:r w:rsidR="00F82CDF">
        <w:t xml:space="preserve"> is more nuanced than this statement allows but </w:t>
      </w:r>
      <w:r w:rsidR="00027772">
        <w:t xml:space="preserve">it </w:t>
      </w:r>
      <w:r w:rsidR="00047536">
        <w:t xml:space="preserve">represents a salvo in </w:t>
      </w:r>
      <w:r w:rsidR="00F82CDF">
        <w:t>t</w:t>
      </w:r>
      <w:r w:rsidR="0093645F">
        <w:t xml:space="preserve">he long-standing tension between definitions of art and of design </w:t>
      </w:r>
      <w:r w:rsidR="00457279">
        <w:t xml:space="preserve">and the </w:t>
      </w:r>
      <w:r w:rsidR="00474260">
        <w:t xml:space="preserve">existence of a </w:t>
      </w:r>
      <w:r w:rsidR="00457279">
        <w:t>hierarchy between them</w:t>
      </w:r>
      <w:r w:rsidR="00047536">
        <w:t xml:space="preserve">. </w:t>
      </w:r>
      <w:r w:rsidR="007B069F">
        <w:t xml:space="preserve">The </w:t>
      </w:r>
      <w:r w:rsidR="00E6485F">
        <w:t>arguments are</w:t>
      </w:r>
      <w:r w:rsidR="00457279">
        <w:t xml:space="preserve"> usefully summarised and explored in </w:t>
      </w:r>
      <w:r w:rsidR="00B7152A" w:rsidRPr="00B7152A">
        <w:rPr>
          <w:rFonts w:cs="Arial"/>
          <w:color w:val="1A1A1A"/>
          <w:shd w:val="clear" w:color="auto" w:fill="FFFFFF"/>
        </w:rPr>
        <w:t>Elissa Auther, ‘The Decorative, Abstraction, and the Hierarchy of Art and Craft in the Art Criticism of Clement Greenberg’, </w:t>
      </w:r>
      <w:r w:rsidR="00B7152A" w:rsidRPr="00B7152A">
        <w:rPr>
          <w:rStyle w:val="Emphasis"/>
          <w:rFonts w:cs="Arial"/>
          <w:color w:val="1A1A1A"/>
          <w:shd w:val="clear" w:color="auto" w:fill="FFFFFF"/>
        </w:rPr>
        <w:t>Oxford Art Journal</w:t>
      </w:r>
      <w:r w:rsidR="00B7152A" w:rsidRPr="00B7152A">
        <w:rPr>
          <w:rFonts w:cs="Arial"/>
          <w:color w:val="1A1A1A"/>
          <w:shd w:val="clear" w:color="auto" w:fill="FFFFFF"/>
        </w:rPr>
        <w:t>, vol.27, no.3, 2004, pp.341–64.</w:t>
      </w:r>
      <w:r w:rsidR="00594248">
        <w:rPr>
          <w:rFonts w:cs="Arial"/>
          <w:color w:val="1A1A1A"/>
          <w:shd w:val="clear" w:color="auto" w:fill="FFFFFF"/>
        </w:rPr>
        <w:t xml:space="preserve"> </w:t>
      </w:r>
      <w:r w:rsidR="00594248">
        <w:t>. Greenberg is himself now a historical figure but as his are foundational texts on the emergence and meaning of abstractionism they are referred to for the</w:t>
      </w:r>
      <w:r w:rsidR="003D7818">
        <w:t>ir</w:t>
      </w:r>
      <w:r w:rsidR="00594248">
        <w:t xml:space="preserve"> critical focus here.</w:t>
      </w:r>
      <w:r w:rsidR="00722E1B">
        <w:t xml:space="preserve"> The Bauhaus</w:t>
      </w:r>
      <w:r w:rsidR="00194B45">
        <w:t xml:space="preserve">, which Klee joined in </w:t>
      </w:r>
      <w:r w:rsidR="000D1EE9">
        <w:t xml:space="preserve">1920, saw no </w:t>
      </w:r>
      <w:r w:rsidR="005B3A3C">
        <w:t xml:space="preserve">necessary </w:t>
      </w:r>
      <w:r w:rsidR="000D1EE9">
        <w:t>distinction between art, design and craftmanship</w:t>
      </w:r>
      <w:r w:rsidR="00CF0A0A">
        <w:t>, though with a different emphasis than that of, for example, William Morris: see</w:t>
      </w:r>
      <w:r w:rsidR="003A72B4">
        <w:t xml:space="preserve"> Partsch, S</w:t>
      </w:r>
      <w:r w:rsidR="00BD05E2">
        <w:t xml:space="preserve"> (2003)</w:t>
      </w:r>
      <w:r w:rsidR="003A72B4">
        <w:t xml:space="preserve"> </w:t>
      </w:r>
      <w:r w:rsidR="00DD021F">
        <w:rPr>
          <w:i/>
          <w:iCs/>
        </w:rPr>
        <w:t>supra</w:t>
      </w:r>
      <w:r w:rsidR="008B6158">
        <w:t xml:space="preserve"> p </w:t>
      </w:r>
      <w:r w:rsidR="00BD05E2">
        <w:t>47.</w:t>
      </w:r>
    </w:p>
  </w:footnote>
  <w:footnote w:id="8">
    <w:p w14:paraId="2B8EA8F2" w14:textId="37753DEE" w:rsidR="009B62B9" w:rsidRPr="00AA05FC" w:rsidRDefault="009B62B9" w:rsidP="00E74912">
      <w:pPr>
        <w:pStyle w:val="FootnoteText"/>
        <w:jc w:val="both"/>
      </w:pPr>
      <w:r>
        <w:rPr>
          <w:rStyle w:val="FootnoteReference"/>
        </w:rPr>
        <w:footnoteRef/>
      </w:r>
      <w:r>
        <w:t xml:space="preserve"> </w:t>
      </w:r>
      <w:r w:rsidR="00D35C3E" w:rsidRPr="00AA05FC">
        <w:t xml:space="preserve">Formalism here </w:t>
      </w:r>
      <w:r w:rsidR="00647C89">
        <w:t>referring to an</w:t>
      </w:r>
      <w:r w:rsidR="006E0DD6" w:rsidRPr="00AA05FC">
        <w:t xml:space="preserve"> exclusive </w:t>
      </w:r>
      <w:r w:rsidR="006E0DD6" w:rsidRPr="00AA05FC">
        <w:rPr>
          <w:rFonts w:cs="Arial"/>
          <w:color w:val="1A1A1A"/>
          <w:shd w:val="clear" w:color="auto" w:fill="FFFFFF"/>
        </w:rPr>
        <w:t>focus on the qualities of colour, brushwork, form, line and </w:t>
      </w:r>
      <w:hyperlink r:id="rId1" w:history="1">
        <w:r w:rsidR="006E0DD6" w:rsidRPr="00AA05FC">
          <w:rPr>
            <w:rStyle w:val="Hyperlink"/>
            <w:rFonts w:cs="Arial"/>
            <w:color w:val="1A1A1A"/>
            <w:shd w:val="clear" w:color="auto" w:fill="FFFFFF"/>
          </w:rPr>
          <w:t>composition</w:t>
        </w:r>
      </w:hyperlink>
      <w:r w:rsidR="00647C89">
        <w:t xml:space="preserve"> rather than </w:t>
      </w:r>
      <w:r w:rsidR="00C41F87">
        <w:t>either narrative or relationship to visible reality</w:t>
      </w:r>
      <w:r w:rsidR="00AA05FC">
        <w:rPr>
          <w:rFonts w:cs="Arial"/>
          <w:color w:val="1A1A1A"/>
          <w:shd w:val="clear" w:color="auto" w:fill="FFFFFF"/>
        </w:rPr>
        <w:t>; this is the approach championed by Greenberg.</w:t>
      </w:r>
      <w:r w:rsidR="00E74912">
        <w:rPr>
          <w:rFonts w:cs="Arial"/>
          <w:color w:val="1A1A1A"/>
          <w:shd w:val="clear" w:color="auto" w:fill="FFFFFF"/>
        </w:rPr>
        <w:t xml:space="preserve"> </w:t>
      </w:r>
    </w:p>
  </w:footnote>
  <w:footnote w:id="9">
    <w:p w14:paraId="761737AB" w14:textId="431AD60E" w:rsidR="001868EE" w:rsidRPr="00BB1AD1" w:rsidRDefault="001868EE">
      <w:pPr>
        <w:pStyle w:val="FootnoteText"/>
      </w:pPr>
      <w:r>
        <w:rPr>
          <w:rStyle w:val="FootnoteReference"/>
        </w:rPr>
        <w:footnoteRef/>
      </w:r>
      <w:r>
        <w:t xml:space="preserve"> </w:t>
      </w:r>
      <w:bookmarkStart w:id="0" w:name="_Hlk215493157"/>
      <w:r w:rsidR="00292C75">
        <w:t>Stonard J</w:t>
      </w:r>
      <w:r w:rsidR="009C1C7C">
        <w:t xml:space="preserve"> </w:t>
      </w:r>
      <w:r w:rsidR="00292C75">
        <w:t>P</w:t>
      </w:r>
      <w:r w:rsidR="009C1C7C">
        <w:t>,</w:t>
      </w:r>
      <w:r w:rsidR="00292C75">
        <w:t xml:space="preserve"> </w:t>
      </w:r>
      <w:r w:rsidR="00BB1AD1">
        <w:t xml:space="preserve">(2021) </w:t>
      </w:r>
      <w:bookmarkEnd w:id="0"/>
      <w:r w:rsidR="00BB1AD1">
        <w:rPr>
          <w:i/>
          <w:iCs/>
        </w:rPr>
        <w:t>Creation: Art Since the Beginning</w:t>
      </w:r>
      <w:r w:rsidR="00DD30C1">
        <w:t xml:space="preserve">. </w:t>
      </w:r>
      <w:r w:rsidR="009C1C7C">
        <w:t>Bloomsbury</w:t>
      </w:r>
      <w:r w:rsidR="00DD30C1">
        <w:t>, p 379</w:t>
      </w:r>
      <w:r w:rsidR="00614528">
        <w:t>.</w:t>
      </w:r>
    </w:p>
  </w:footnote>
  <w:footnote w:id="10">
    <w:p w14:paraId="3067A0C0" w14:textId="2924890C" w:rsidR="00682560" w:rsidRDefault="00682560">
      <w:pPr>
        <w:pStyle w:val="FootnoteText"/>
      </w:pPr>
      <w:r>
        <w:rPr>
          <w:rStyle w:val="FootnoteReference"/>
        </w:rPr>
        <w:footnoteRef/>
      </w:r>
      <w:r>
        <w:t xml:space="preserve"> </w:t>
      </w:r>
      <w:r w:rsidR="009A0346">
        <w:t xml:space="preserve">Riley, B ‘Making Visible’ in Kudielker, R (2002) </w:t>
      </w:r>
      <w:r w:rsidR="009A0346">
        <w:rPr>
          <w:i/>
          <w:iCs/>
        </w:rPr>
        <w:t xml:space="preserve">Paul Klee: </w:t>
      </w:r>
      <w:r w:rsidR="00CA72B9">
        <w:rPr>
          <w:i/>
          <w:iCs/>
        </w:rPr>
        <w:t>The Nature of Creation</w:t>
      </w:r>
      <w:r w:rsidR="00CA72B9">
        <w:t>. Hayward Gallery</w:t>
      </w:r>
      <w:r w:rsidR="00BC464D">
        <w:t>, p 97</w:t>
      </w:r>
      <w:r w:rsidR="00CA72B9">
        <w:t>.</w:t>
      </w:r>
      <w:r w:rsidR="009A0346">
        <w:t xml:space="preserve"> </w:t>
      </w:r>
    </w:p>
  </w:footnote>
  <w:footnote w:id="11">
    <w:p w14:paraId="5A8F3282" w14:textId="3AA23AE4" w:rsidR="00870028" w:rsidRDefault="00870028" w:rsidP="00870028">
      <w:pPr>
        <w:pStyle w:val="FootnoteText"/>
        <w:jc w:val="both"/>
      </w:pPr>
      <w:r>
        <w:rPr>
          <w:rStyle w:val="FootnoteReference"/>
        </w:rPr>
        <w:footnoteRef/>
      </w:r>
      <w:r>
        <w:t xml:space="preserve"> For a lengthy examination of this point and the relationship between Old Masters and modernism see Greenberg C, (1960) ‘Modernist Painting’  in </w:t>
      </w:r>
      <w:r>
        <w:rPr>
          <w:i/>
          <w:iCs/>
        </w:rPr>
        <w:t>Art and Culture: Critical Essays</w:t>
      </w:r>
      <w:r>
        <w:t>. Beacon Press, pp 85-93.</w:t>
      </w:r>
    </w:p>
  </w:footnote>
  <w:footnote w:id="12">
    <w:p w14:paraId="3BA8BADF" w14:textId="3A18A822" w:rsidR="00D357C0" w:rsidRDefault="00D357C0">
      <w:pPr>
        <w:pStyle w:val="FootnoteText"/>
      </w:pPr>
      <w:r>
        <w:rPr>
          <w:rStyle w:val="FootnoteReference"/>
        </w:rPr>
        <w:footnoteRef/>
      </w:r>
      <w:r w:rsidR="00870028">
        <w:t xml:space="preserve">Riley </w:t>
      </w:r>
      <w:r w:rsidR="003B2CE5">
        <w:rPr>
          <w:i/>
          <w:iCs/>
        </w:rPr>
        <w:t>supra</w:t>
      </w:r>
      <w:r w:rsidR="000E5488">
        <w:t>.</w:t>
      </w:r>
    </w:p>
  </w:footnote>
  <w:footnote w:id="13">
    <w:p w14:paraId="6D6A9B66" w14:textId="5C6F4D5C" w:rsidR="00D86ECF" w:rsidRPr="00AF11CD" w:rsidRDefault="00D86ECF" w:rsidP="00D86ECF">
      <w:pPr>
        <w:pStyle w:val="FootnoteText"/>
        <w:suppressLineNumbers/>
        <w:contextualSpacing/>
      </w:pPr>
      <w:r>
        <w:rPr>
          <w:rStyle w:val="FootnoteReference"/>
        </w:rPr>
        <w:footnoteRef/>
      </w:r>
      <w:r w:rsidRPr="00AF11CD">
        <w:t xml:space="preserve"> </w:t>
      </w:r>
      <w:r w:rsidR="00EE5C25" w:rsidRPr="00AF11CD">
        <w:t>Stonard J P, (2021)</w:t>
      </w:r>
      <w:r w:rsidR="00556456" w:rsidRPr="00AF11CD">
        <w:t xml:space="preserve"> </w:t>
      </w:r>
      <w:r w:rsidR="00556456" w:rsidRPr="00AF11CD">
        <w:rPr>
          <w:i/>
          <w:iCs/>
        </w:rPr>
        <w:t xml:space="preserve">supra </w:t>
      </w:r>
      <w:r w:rsidRPr="00AF11CD">
        <w:t>p 391.</w:t>
      </w:r>
    </w:p>
  </w:footnote>
  <w:footnote w:id="14">
    <w:p w14:paraId="12BBA1FF" w14:textId="106D907A" w:rsidR="00BD6187" w:rsidRPr="00737989" w:rsidRDefault="00362FF0" w:rsidP="002008ED">
      <w:pPr>
        <w:pStyle w:val="FootnoteText"/>
        <w:jc w:val="both"/>
      </w:pPr>
      <w:r>
        <w:rPr>
          <w:rStyle w:val="FootnoteReference"/>
        </w:rPr>
        <w:footnoteRef/>
      </w:r>
      <w:r>
        <w:t xml:space="preserve"> </w:t>
      </w:r>
      <w:r w:rsidR="00BD6187">
        <w:t xml:space="preserve">As an early </w:t>
      </w:r>
      <w:r w:rsidR="009D7385">
        <w:t xml:space="preserve">article by </w:t>
      </w:r>
      <w:r w:rsidR="00BD6187">
        <w:t>Greenberg put it</w:t>
      </w:r>
      <w:r w:rsidR="009D7385">
        <w:t>, ‘</w:t>
      </w:r>
      <w:r w:rsidR="00BD6187" w:rsidRPr="00BD6187">
        <w:t>Content is to be dissolved so completely into form that the work of art or literature cannot be reduced in whole or in part to anything not itself</w:t>
      </w:r>
      <w:r w:rsidR="009D7385">
        <w:t xml:space="preserve">’: Greenberg, C </w:t>
      </w:r>
      <w:r w:rsidR="0087122A">
        <w:t xml:space="preserve">‘Avant Garde and Kitsch’ </w:t>
      </w:r>
      <w:r w:rsidR="00C625C2">
        <w:rPr>
          <w:i/>
          <w:iCs/>
        </w:rPr>
        <w:t xml:space="preserve">Partisan Review </w:t>
      </w:r>
      <w:r w:rsidR="00737989">
        <w:t>Fall, 1939 pp 34 – 49</w:t>
      </w:r>
    </w:p>
    <w:p w14:paraId="69B8DAB7" w14:textId="43426637" w:rsidR="00362FF0" w:rsidRDefault="00362FF0" w:rsidP="002008ED">
      <w:pPr>
        <w:pStyle w:val="FootnoteText"/>
        <w:jc w:val="both"/>
      </w:pPr>
    </w:p>
  </w:footnote>
  <w:footnote w:id="15">
    <w:p w14:paraId="0D2A1A36" w14:textId="63C28F06" w:rsidR="00C455BB" w:rsidRDefault="00C455BB">
      <w:pPr>
        <w:pStyle w:val="FootnoteText"/>
      </w:pPr>
      <w:r>
        <w:rPr>
          <w:rStyle w:val="FootnoteReference"/>
        </w:rPr>
        <w:footnoteRef/>
      </w:r>
      <w:r>
        <w:t xml:space="preserve"> </w:t>
      </w:r>
      <w:r w:rsidRPr="006C65DE">
        <w:t xml:space="preserve">Riley, B in </w:t>
      </w:r>
      <w:proofErr w:type="spellStart"/>
      <w:r w:rsidRPr="006C65DE">
        <w:t>Kudielka</w:t>
      </w:r>
      <w:proofErr w:type="spellEnd"/>
      <w:r w:rsidRPr="006C65DE">
        <w:t xml:space="preserve">, R </w:t>
      </w:r>
      <w:r w:rsidRPr="006C65DE">
        <w:rPr>
          <w:i/>
          <w:iCs/>
        </w:rPr>
        <w:t>supra</w:t>
      </w:r>
      <w:r w:rsidRPr="006C65DE">
        <w:t xml:space="preserve"> p</w:t>
      </w:r>
      <w:r>
        <w:t xml:space="preserve"> 18</w:t>
      </w:r>
    </w:p>
  </w:footnote>
  <w:footnote w:id="16">
    <w:p w14:paraId="43737DAE" w14:textId="277ED4FF" w:rsidR="00BF76EB" w:rsidRPr="00620A37" w:rsidRDefault="00BF76EB">
      <w:pPr>
        <w:pStyle w:val="FootnoteText"/>
      </w:pPr>
      <w:r>
        <w:rPr>
          <w:rStyle w:val="FootnoteReference"/>
        </w:rPr>
        <w:footnoteRef/>
      </w:r>
      <w:r>
        <w:t xml:space="preserve"> </w:t>
      </w:r>
      <w:r w:rsidR="00620A37">
        <w:t xml:space="preserve">Klee, P </w:t>
      </w:r>
      <w:r w:rsidR="00C71241">
        <w:t>in Spiller J (ed)</w:t>
      </w:r>
      <w:r w:rsidR="00490C88">
        <w:t xml:space="preserve"> (1961) </w:t>
      </w:r>
      <w:r w:rsidR="00620A37">
        <w:rPr>
          <w:i/>
          <w:iCs/>
        </w:rPr>
        <w:t>The Thinking Eye</w:t>
      </w:r>
      <w:r w:rsidR="00490C88">
        <w:rPr>
          <w:i/>
          <w:iCs/>
        </w:rPr>
        <w:t>: The Notebooks of Paul Klee</w:t>
      </w:r>
      <w:r w:rsidR="00490C88">
        <w:t xml:space="preserve">. </w:t>
      </w:r>
      <w:r w:rsidR="00C71241">
        <w:t xml:space="preserve"> </w:t>
      </w:r>
      <w:r w:rsidR="007F2BB7">
        <w:t>G Wittenborn</w:t>
      </w:r>
      <w:r w:rsidR="00620A37">
        <w:t xml:space="preserve"> p 49</w:t>
      </w:r>
    </w:p>
  </w:footnote>
  <w:footnote w:id="17">
    <w:p w14:paraId="7559785E" w14:textId="642AE111" w:rsidR="00F26719" w:rsidRPr="00EA22F7" w:rsidRDefault="00F26719">
      <w:pPr>
        <w:pStyle w:val="FootnoteText"/>
      </w:pPr>
      <w:r>
        <w:rPr>
          <w:rStyle w:val="FootnoteReference"/>
        </w:rPr>
        <w:footnoteRef/>
      </w:r>
      <w:r>
        <w:t xml:space="preserve"> </w:t>
      </w:r>
      <w:r w:rsidR="00C01294">
        <w:t>In an interview with Riley c</w:t>
      </w:r>
      <w:r>
        <w:t xml:space="preserve">ited in </w:t>
      </w:r>
      <w:r w:rsidR="00EA22F7">
        <w:t>Gayford M</w:t>
      </w:r>
      <w:r w:rsidR="001D2F0E">
        <w:t xml:space="preserve"> (2024)</w:t>
      </w:r>
      <w:r w:rsidR="00EA22F7">
        <w:t xml:space="preserve"> </w:t>
      </w:r>
      <w:r w:rsidR="00EA22F7">
        <w:rPr>
          <w:i/>
          <w:iCs/>
        </w:rPr>
        <w:t>How Painting Happens (and why it matters)</w:t>
      </w:r>
      <w:r w:rsidR="00A50908">
        <w:t xml:space="preserve">. </w:t>
      </w:r>
      <w:r w:rsidR="00781B8A">
        <w:t>Thames and Hudson</w:t>
      </w:r>
      <w:r w:rsidR="007F21FC">
        <w:t>, p170</w:t>
      </w:r>
    </w:p>
  </w:footnote>
  <w:footnote w:id="18">
    <w:p w14:paraId="5BAA8823" w14:textId="29F5F091" w:rsidR="0089407D" w:rsidRPr="0089407D" w:rsidRDefault="0089407D">
      <w:pPr>
        <w:pStyle w:val="FootnoteText"/>
      </w:pPr>
      <w:r>
        <w:rPr>
          <w:rStyle w:val="FootnoteReference"/>
        </w:rPr>
        <w:footnoteRef/>
      </w:r>
      <w:r w:rsidR="0085614B">
        <w:rPr>
          <w:i/>
          <w:iCs/>
        </w:rPr>
        <w:t xml:space="preserve"> Ibid</w:t>
      </w:r>
    </w:p>
  </w:footnote>
  <w:footnote w:id="19">
    <w:p w14:paraId="11D65A51" w14:textId="48C07616" w:rsidR="00F719E7" w:rsidRDefault="00F719E7" w:rsidP="00F719E7">
      <w:pPr>
        <w:pStyle w:val="FootnoteText"/>
      </w:pPr>
      <w:r>
        <w:rPr>
          <w:rStyle w:val="FootnoteReference"/>
        </w:rPr>
        <w:footnoteRef/>
      </w:r>
      <w:r>
        <w:t xml:space="preserve"> </w:t>
      </w:r>
      <w:r w:rsidR="004201D4">
        <w:t xml:space="preserve">Quoted without clear citation by Moholy-Nagy, S </w:t>
      </w:r>
      <w:r w:rsidR="009B2D4C">
        <w:t>(</w:t>
      </w:r>
      <w:proofErr w:type="spellStart"/>
      <w:r w:rsidR="009B2D4C">
        <w:t>Trs</w:t>
      </w:r>
      <w:proofErr w:type="spellEnd"/>
      <w:r w:rsidR="009B2D4C">
        <w:t>) i</w:t>
      </w:r>
      <w:r w:rsidR="004201D4">
        <w:t xml:space="preserve">n her Introduction to Klee, P </w:t>
      </w:r>
      <w:r w:rsidR="003E7F77">
        <w:t xml:space="preserve">(1953) </w:t>
      </w:r>
      <w:r w:rsidR="004201D4">
        <w:rPr>
          <w:i/>
          <w:iCs/>
        </w:rPr>
        <w:t>Pedagogical Sketchbook</w:t>
      </w:r>
      <w:r w:rsidR="004201D4">
        <w:t>. Faber and Faber</w:t>
      </w:r>
      <w:r w:rsidR="003E7F77">
        <w:t xml:space="preserve"> p 7</w:t>
      </w:r>
      <w:r w:rsidR="004201D4">
        <w:t>.</w:t>
      </w:r>
    </w:p>
  </w:footnote>
  <w:footnote w:id="20">
    <w:p w14:paraId="396F872C" w14:textId="16EE6CF7" w:rsidR="00F04DA9" w:rsidRPr="00F04DA9" w:rsidRDefault="009C2237">
      <w:pPr>
        <w:pStyle w:val="FootnoteText"/>
        <w:rPr>
          <w:i/>
          <w:iCs/>
        </w:rPr>
      </w:pPr>
      <w:r>
        <w:rPr>
          <w:rStyle w:val="FootnoteReference"/>
        </w:rPr>
        <w:footnoteRef/>
      </w:r>
      <w:r>
        <w:t xml:space="preserve"> </w:t>
      </w:r>
      <w:r w:rsidR="00BA00D6">
        <w:rPr>
          <w:i/>
          <w:iCs/>
        </w:rPr>
        <w:t>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2D"/>
    <w:rsid w:val="00000822"/>
    <w:rsid w:val="000013D4"/>
    <w:rsid w:val="000015AC"/>
    <w:rsid w:val="000037D3"/>
    <w:rsid w:val="0001162B"/>
    <w:rsid w:val="00011762"/>
    <w:rsid w:val="00011EE0"/>
    <w:rsid w:val="00015080"/>
    <w:rsid w:val="00015891"/>
    <w:rsid w:val="00017932"/>
    <w:rsid w:val="00022221"/>
    <w:rsid w:val="00027772"/>
    <w:rsid w:val="00030554"/>
    <w:rsid w:val="00035D65"/>
    <w:rsid w:val="00041193"/>
    <w:rsid w:val="00047536"/>
    <w:rsid w:val="00050378"/>
    <w:rsid w:val="00057C08"/>
    <w:rsid w:val="00062F73"/>
    <w:rsid w:val="0006309E"/>
    <w:rsid w:val="000645BD"/>
    <w:rsid w:val="000648AD"/>
    <w:rsid w:val="00067025"/>
    <w:rsid w:val="00080096"/>
    <w:rsid w:val="00086A52"/>
    <w:rsid w:val="000907F0"/>
    <w:rsid w:val="00090891"/>
    <w:rsid w:val="0009104E"/>
    <w:rsid w:val="000A0EF1"/>
    <w:rsid w:val="000A68A8"/>
    <w:rsid w:val="000A7BFC"/>
    <w:rsid w:val="000B6899"/>
    <w:rsid w:val="000C0CCE"/>
    <w:rsid w:val="000C37F1"/>
    <w:rsid w:val="000C51CE"/>
    <w:rsid w:val="000D1EE9"/>
    <w:rsid w:val="000D26B2"/>
    <w:rsid w:val="000D4C17"/>
    <w:rsid w:val="000E5488"/>
    <w:rsid w:val="000F377D"/>
    <w:rsid w:val="00101ACC"/>
    <w:rsid w:val="00101CBE"/>
    <w:rsid w:val="00102107"/>
    <w:rsid w:val="00117A5C"/>
    <w:rsid w:val="00121357"/>
    <w:rsid w:val="00127D2E"/>
    <w:rsid w:val="00133DDD"/>
    <w:rsid w:val="00142E32"/>
    <w:rsid w:val="00146CFA"/>
    <w:rsid w:val="00150A94"/>
    <w:rsid w:val="001623DD"/>
    <w:rsid w:val="00164220"/>
    <w:rsid w:val="001664D5"/>
    <w:rsid w:val="00170AA1"/>
    <w:rsid w:val="00173087"/>
    <w:rsid w:val="00173AFE"/>
    <w:rsid w:val="001777CF"/>
    <w:rsid w:val="0018439C"/>
    <w:rsid w:val="001868EE"/>
    <w:rsid w:val="00192563"/>
    <w:rsid w:val="001932EF"/>
    <w:rsid w:val="00194B45"/>
    <w:rsid w:val="001A19A2"/>
    <w:rsid w:val="001A208C"/>
    <w:rsid w:val="001A4032"/>
    <w:rsid w:val="001A7F1E"/>
    <w:rsid w:val="001B2851"/>
    <w:rsid w:val="001C20B9"/>
    <w:rsid w:val="001D2F0E"/>
    <w:rsid w:val="001D4D18"/>
    <w:rsid w:val="001D67AA"/>
    <w:rsid w:val="001E2C37"/>
    <w:rsid w:val="001E50A8"/>
    <w:rsid w:val="001F503B"/>
    <w:rsid w:val="001F743D"/>
    <w:rsid w:val="002008ED"/>
    <w:rsid w:val="0021023D"/>
    <w:rsid w:val="0021365F"/>
    <w:rsid w:val="002171E1"/>
    <w:rsid w:val="002178FB"/>
    <w:rsid w:val="00217E9B"/>
    <w:rsid w:val="0022274B"/>
    <w:rsid w:val="002235C5"/>
    <w:rsid w:val="00224521"/>
    <w:rsid w:val="00227A15"/>
    <w:rsid w:val="002306D7"/>
    <w:rsid w:val="00244503"/>
    <w:rsid w:val="0024608D"/>
    <w:rsid w:val="00252258"/>
    <w:rsid w:val="002534BF"/>
    <w:rsid w:val="002535D8"/>
    <w:rsid w:val="002778D4"/>
    <w:rsid w:val="0028101D"/>
    <w:rsid w:val="002815BD"/>
    <w:rsid w:val="00284968"/>
    <w:rsid w:val="00292C75"/>
    <w:rsid w:val="00295AE6"/>
    <w:rsid w:val="002A00AF"/>
    <w:rsid w:val="002A3CD7"/>
    <w:rsid w:val="002A4235"/>
    <w:rsid w:val="002A4A25"/>
    <w:rsid w:val="002A7844"/>
    <w:rsid w:val="002B326A"/>
    <w:rsid w:val="002B4089"/>
    <w:rsid w:val="002B7A41"/>
    <w:rsid w:val="002C31DE"/>
    <w:rsid w:val="002C46B0"/>
    <w:rsid w:val="002D3CBC"/>
    <w:rsid w:val="002E234C"/>
    <w:rsid w:val="002E3666"/>
    <w:rsid w:val="002E39D3"/>
    <w:rsid w:val="002E42F6"/>
    <w:rsid w:val="002F24EC"/>
    <w:rsid w:val="002F3153"/>
    <w:rsid w:val="002F6327"/>
    <w:rsid w:val="002F69E7"/>
    <w:rsid w:val="00301039"/>
    <w:rsid w:val="00301420"/>
    <w:rsid w:val="00303D9F"/>
    <w:rsid w:val="00304F31"/>
    <w:rsid w:val="003052CD"/>
    <w:rsid w:val="00311237"/>
    <w:rsid w:val="00311AC0"/>
    <w:rsid w:val="00314A4A"/>
    <w:rsid w:val="00316D6A"/>
    <w:rsid w:val="00320519"/>
    <w:rsid w:val="003227E7"/>
    <w:rsid w:val="00323106"/>
    <w:rsid w:val="00330F1B"/>
    <w:rsid w:val="003320C8"/>
    <w:rsid w:val="00332A22"/>
    <w:rsid w:val="003330AC"/>
    <w:rsid w:val="00333102"/>
    <w:rsid w:val="003368EE"/>
    <w:rsid w:val="00337F87"/>
    <w:rsid w:val="003404E5"/>
    <w:rsid w:val="0034227B"/>
    <w:rsid w:val="00346E01"/>
    <w:rsid w:val="00353F30"/>
    <w:rsid w:val="0035592E"/>
    <w:rsid w:val="0035603D"/>
    <w:rsid w:val="00360CCC"/>
    <w:rsid w:val="003618A0"/>
    <w:rsid w:val="00362FF0"/>
    <w:rsid w:val="0036342D"/>
    <w:rsid w:val="00364C07"/>
    <w:rsid w:val="00372BF1"/>
    <w:rsid w:val="00374F91"/>
    <w:rsid w:val="00384F60"/>
    <w:rsid w:val="003863BC"/>
    <w:rsid w:val="00397754"/>
    <w:rsid w:val="003A0307"/>
    <w:rsid w:val="003A28C6"/>
    <w:rsid w:val="003A4722"/>
    <w:rsid w:val="003A5676"/>
    <w:rsid w:val="003A72B4"/>
    <w:rsid w:val="003A72F0"/>
    <w:rsid w:val="003A7AA6"/>
    <w:rsid w:val="003A7CD0"/>
    <w:rsid w:val="003B2CE5"/>
    <w:rsid w:val="003C1413"/>
    <w:rsid w:val="003C687C"/>
    <w:rsid w:val="003C7019"/>
    <w:rsid w:val="003C7AC0"/>
    <w:rsid w:val="003D205E"/>
    <w:rsid w:val="003D3D75"/>
    <w:rsid w:val="003D7818"/>
    <w:rsid w:val="003E5590"/>
    <w:rsid w:val="003E7F77"/>
    <w:rsid w:val="003F06BE"/>
    <w:rsid w:val="003F23F8"/>
    <w:rsid w:val="00400E50"/>
    <w:rsid w:val="00401B87"/>
    <w:rsid w:val="00403021"/>
    <w:rsid w:val="00407E25"/>
    <w:rsid w:val="004109EB"/>
    <w:rsid w:val="004201D4"/>
    <w:rsid w:val="004211B1"/>
    <w:rsid w:val="004308F3"/>
    <w:rsid w:val="00434E8A"/>
    <w:rsid w:val="00441727"/>
    <w:rsid w:val="00450E28"/>
    <w:rsid w:val="004521EA"/>
    <w:rsid w:val="0045233F"/>
    <w:rsid w:val="00457279"/>
    <w:rsid w:val="00474260"/>
    <w:rsid w:val="00474851"/>
    <w:rsid w:val="0048389F"/>
    <w:rsid w:val="00486A6F"/>
    <w:rsid w:val="00490C88"/>
    <w:rsid w:val="00494074"/>
    <w:rsid w:val="004971C6"/>
    <w:rsid w:val="004A065B"/>
    <w:rsid w:val="004A2A8F"/>
    <w:rsid w:val="004A4149"/>
    <w:rsid w:val="004A766B"/>
    <w:rsid w:val="004B1F43"/>
    <w:rsid w:val="004B44DE"/>
    <w:rsid w:val="004B4E4B"/>
    <w:rsid w:val="004B5237"/>
    <w:rsid w:val="004B6202"/>
    <w:rsid w:val="004B6911"/>
    <w:rsid w:val="004C062A"/>
    <w:rsid w:val="004C6096"/>
    <w:rsid w:val="004C6FCD"/>
    <w:rsid w:val="004C73ED"/>
    <w:rsid w:val="004D1D9E"/>
    <w:rsid w:val="004D7755"/>
    <w:rsid w:val="004E2182"/>
    <w:rsid w:val="004E227C"/>
    <w:rsid w:val="004E27AF"/>
    <w:rsid w:val="004E2818"/>
    <w:rsid w:val="004E34A7"/>
    <w:rsid w:val="004F2762"/>
    <w:rsid w:val="004F573C"/>
    <w:rsid w:val="00502820"/>
    <w:rsid w:val="00504198"/>
    <w:rsid w:val="00507371"/>
    <w:rsid w:val="00513F33"/>
    <w:rsid w:val="005146C4"/>
    <w:rsid w:val="0051783F"/>
    <w:rsid w:val="00522028"/>
    <w:rsid w:val="00522D77"/>
    <w:rsid w:val="00525F3A"/>
    <w:rsid w:val="0053177E"/>
    <w:rsid w:val="00537F9C"/>
    <w:rsid w:val="0054235C"/>
    <w:rsid w:val="00543A60"/>
    <w:rsid w:val="00553FDF"/>
    <w:rsid w:val="00554FBA"/>
    <w:rsid w:val="00555ED0"/>
    <w:rsid w:val="00556456"/>
    <w:rsid w:val="005571D7"/>
    <w:rsid w:val="00562969"/>
    <w:rsid w:val="00563741"/>
    <w:rsid w:val="00563FE0"/>
    <w:rsid w:val="00564A09"/>
    <w:rsid w:val="00565AD0"/>
    <w:rsid w:val="005668E5"/>
    <w:rsid w:val="00572605"/>
    <w:rsid w:val="00573FC2"/>
    <w:rsid w:val="00576DCA"/>
    <w:rsid w:val="00582C4D"/>
    <w:rsid w:val="00586ADF"/>
    <w:rsid w:val="00586E42"/>
    <w:rsid w:val="005928E5"/>
    <w:rsid w:val="00594248"/>
    <w:rsid w:val="005B05A3"/>
    <w:rsid w:val="005B09E8"/>
    <w:rsid w:val="005B3A3C"/>
    <w:rsid w:val="005B65C0"/>
    <w:rsid w:val="005C2569"/>
    <w:rsid w:val="005C4260"/>
    <w:rsid w:val="005C5E73"/>
    <w:rsid w:val="005C7CD3"/>
    <w:rsid w:val="005D2852"/>
    <w:rsid w:val="005D3A91"/>
    <w:rsid w:val="005D7E0E"/>
    <w:rsid w:val="005E12E5"/>
    <w:rsid w:val="005E4916"/>
    <w:rsid w:val="005E6011"/>
    <w:rsid w:val="005F7795"/>
    <w:rsid w:val="006013D1"/>
    <w:rsid w:val="006023E3"/>
    <w:rsid w:val="00602855"/>
    <w:rsid w:val="00602ADF"/>
    <w:rsid w:val="00602F9A"/>
    <w:rsid w:val="00605F3B"/>
    <w:rsid w:val="00614528"/>
    <w:rsid w:val="00620A37"/>
    <w:rsid w:val="006230E3"/>
    <w:rsid w:val="00624551"/>
    <w:rsid w:val="00624806"/>
    <w:rsid w:val="006250BD"/>
    <w:rsid w:val="00625857"/>
    <w:rsid w:val="00633F23"/>
    <w:rsid w:val="00634FA1"/>
    <w:rsid w:val="006402C8"/>
    <w:rsid w:val="00644F93"/>
    <w:rsid w:val="006467A2"/>
    <w:rsid w:val="00647C89"/>
    <w:rsid w:val="006538B1"/>
    <w:rsid w:val="006553F6"/>
    <w:rsid w:val="00656517"/>
    <w:rsid w:val="00657DDD"/>
    <w:rsid w:val="00660A09"/>
    <w:rsid w:val="006728C6"/>
    <w:rsid w:val="00674DAB"/>
    <w:rsid w:val="006765D6"/>
    <w:rsid w:val="006804D2"/>
    <w:rsid w:val="00682560"/>
    <w:rsid w:val="00691057"/>
    <w:rsid w:val="00691B76"/>
    <w:rsid w:val="00695671"/>
    <w:rsid w:val="006960A3"/>
    <w:rsid w:val="00697ABD"/>
    <w:rsid w:val="006C0895"/>
    <w:rsid w:val="006C1B5E"/>
    <w:rsid w:val="006C5CAE"/>
    <w:rsid w:val="006C65DE"/>
    <w:rsid w:val="006C7920"/>
    <w:rsid w:val="006D0ADD"/>
    <w:rsid w:val="006D1EAE"/>
    <w:rsid w:val="006D6D73"/>
    <w:rsid w:val="006D71CC"/>
    <w:rsid w:val="006E03DF"/>
    <w:rsid w:val="006E049D"/>
    <w:rsid w:val="006E0DD6"/>
    <w:rsid w:val="006E404F"/>
    <w:rsid w:val="006E4CB1"/>
    <w:rsid w:val="006F3D09"/>
    <w:rsid w:val="006F7614"/>
    <w:rsid w:val="006F7D94"/>
    <w:rsid w:val="0070052A"/>
    <w:rsid w:val="007104AA"/>
    <w:rsid w:val="00712C1E"/>
    <w:rsid w:val="0071586F"/>
    <w:rsid w:val="00720BE2"/>
    <w:rsid w:val="0072282E"/>
    <w:rsid w:val="00722E1B"/>
    <w:rsid w:val="00727A1D"/>
    <w:rsid w:val="007304BB"/>
    <w:rsid w:val="00737989"/>
    <w:rsid w:val="007435E8"/>
    <w:rsid w:val="00744D83"/>
    <w:rsid w:val="00745846"/>
    <w:rsid w:val="00746AC3"/>
    <w:rsid w:val="00747660"/>
    <w:rsid w:val="007520D1"/>
    <w:rsid w:val="00755A09"/>
    <w:rsid w:val="00761252"/>
    <w:rsid w:val="00762967"/>
    <w:rsid w:val="00764D7E"/>
    <w:rsid w:val="00772969"/>
    <w:rsid w:val="00773CD2"/>
    <w:rsid w:val="00775F1D"/>
    <w:rsid w:val="00775F5B"/>
    <w:rsid w:val="00777307"/>
    <w:rsid w:val="00781B8A"/>
    <w:rsid w:val="00784327"/>
    <w:rsid w:val="00785262"/>
    <w:rsid w:val="00786984"/>
    <w:rsid w:val="007943B1"/>
    <w:rsid w:val="0079689A"/>
    <w:rsid w:val="007A4099"/>
    <w:rsid w:val="007B069F"/>
    <w:rsid w:val="007B17FB"/>
    <w:rsid w:val="007B2348"/>
    <w:rsid w:val="007B30F1"/>
    <w:rsid w:val="007B6328"/>
    <w:rsid w:val="007C4FD0"/>
    <w:rsid w:val="007C718C"/>
    <w:rsid w:val="007D76AF"/>
    <w:rsid w:val="007E24A4"/>
    <w:rsid w:val="007E2686"/>
    <w:rsid w:val="007E2AB6"/>
    <w:rsid w:val="007E59C4"/>
    <w:rsid w:val="007F21FC"/>
    <w:rsid w:val="007F2BB7"/>
    <w:rsid w:val="007F45BB"/>
    <w:rsid w:val="007F5949"/>
    <w:rsid w:val="0080445C"/>
    <w:rsid w:val="00806C69"/>
    <w:rsid w:val="00806D07"/>
    <w:rsid w:val="00812292"/>
    <w:rsid w:val="00812BFC"/>
    <w:rsid w:val="00812EC0"/>
    <w:rsid w:val="0081411D"/>
    <w:rsid w:val="00822630"/>
    <w:rsid w:val="00822DAC"/>
    <w:rsid w:val="00832783"/>
    <w:rsid w:val="00834C6B"/>
    <w:rsid w:val="00836C24"/>
    <w:rsid w:val="00837DC8"/>
    <w:rsid w:val="00843B0E"/>
    <w:rsid w:val="00845EFA"/>
    <w:rsid w:val="00846D95"/>
    <w:rsid w:val="00853C1C"/>
    <w:rsid w:val="0085614B"/>
    <w:rsid w:val="00870028"/>
    <w:rsid w:val="00871148"/>
    <w:rsid w:val="0087122A"/>
    <w:rsid w:val="00872598"/>
    <w:rsid w:val="0087514C"/>
    <w:rsid w:val="00875E37"/>
    <w:rsid w:val="00876310"/>
    <w:rsid w:val="00876941"/>
    <w:rsid w:val="00876DED"/>
    <w:rsid w:val="0087797E"/>
    <w:rsid w:val="00877D99"/>
    <w:rsid w:val="008804DB"/>
    <w:rsid w:val="00881507"/>
    <w:rsid w:val="0089407D"/>
    <w:rsid w:val="0089624A"/>
    <w:rsid w:val="00896725"/>
    <w:rsid w:val="00896F56"/>
    <w:rsid w:val="008A2F00"/>
    <w:rsid w:val="008B2497"/>
    <w:rsid w:val="008B3487"/>
    <w:rsid w:val="008B6158"/>
    <w:rsid w:val="008B65B8"/>
    <w:rsid w:val="008C2EBD"/>
    <w:rsid w:val="008C53A8"/>
    <w:rsid w:val="008C57E7"/>
    <w:rsid w:val="008C79E9"/>
    <w:rsid w:val="008D5FDA"/>
    <w:rsid w:val="008E036D"/>
    <w:rsid w:val="008E38FF"/>
    <w:rsid w:val="008E523C"/>
    <w:rsid w:val="008E62EE"/>
    <w:rsid w:val="008F1C42"/>
    <w:rsid w:val="008F1FC7"/>
    <w:rsid w:val="008F36C5"/>
    <w:rsid w:val="00901206"/>
    <w:rsid w:val="0090584F"/>
    <w:rsid w:val="0090691B"/>
    <w:rsid w:val="009103D5"/>
    <w:rsid w:val="00910981"/>
    <w:rsid w:val="00931391"/>
    <w:rsid w:val="00933A5D"/>
    <w:rsid w:val="00934DBD"/>
    <w:rsid w:val="0093575A"/>
    <w:rsid w:val="0093645F"/>
    <w:rsid w:val="009366A9"/>
    <w:rsid w:val="00951E51"/>
    <w:rsid w:val="00961CA2"/>
    <w:rsid w:val="009620A3"/>
    <w:rsid w:val="009718B9"/>
    <w:rsid w:val="00972F08"/>
    <w:rsid w:val="009748C7"/>
    <w:rsid w:val="009775BC"/>
    <w:rsid w:val="00977B33"/>
    <w:rsid w:val="0099404D"/>
    <w:rsid w:val="009A0346"/>
    <w:rsid w:val="009A41AD"/>
    <w:rsid w:val="009B137F"/>
    <w:rsid w:val="009B2D4C"/>
    <w:rsid w:val="009B4619"/>
    <w:rsid w:val="009B62B9"/>
    <w:rsid w:val="009C0877"/>
    <w:rsid w:val="009C1C7C"/>
    <w:rsid w:val="009C2237"/>
    <w:rsid w:val="009D4B2E"/>
    <w:rsid w:val="009D7385"/>
    <w:rsid w:val="009E6AD8"/>
    <w:rsid w:val="009F2B52"/>
    <w:rsid w:val="009F2EAB"/>
    <w:rsid w:val="009F5BFF"/>
    <w:rsid w:val="00A006C4"/>
    <w:rsid w:val="00A04D69"/>
    <w:rsid w:val="00A0611D"/>
    <w:rsid w:val="00A06AE2"/>
    <w:rsid w:val="00A117D5"/>
    <w:rsid w:val="00A11F26"/>
    <w:rsid w:val="00A2417C"/>
    <w:rsid w:val="00A31D79"/>
    <w:rsid w:val="00A31F67"/>
    <w:rsid w:val="00A341A2"/>
    <w:rsid w:val="00A34930"/>
    <w:rsid w:val="00A35BAA"/>
    <w:rsid w:val="00A375E8"/>
    <w:rsid w:val="00A50908"/>
    <w:rsid w:val="00A55BAC"/>
    <w:rsid w:val="00A56B54"/>
    <w:rsid w:val="00A71C30"/>
    <w:rsid w:val="00A74C24"/>
    <w:rsid w:val="00A85717"/>
    <w:rsid w:val="00A87801"/>
    <w:rsid w:val="00A915AC"/>
    <w:rsid w:val="00A96ABC"/>
    <w:rsid w:val="00AA052F"/>
    <w:rsid w:val="00AA05FC"/>
    <w:rsid w:val="00AA2C49"/>
    <w:rsid w:val="00AC0B80"/>
    <w:rsid w:val="00AC324A"/>
    <w:rsid w:val="00AD021D"/>
    <w:rsid w:val="00AE0CD2"/>
    <w:rsid w:val="00AE15A1"/>
    <w:rsid w:val="00AE242D"/>
    <w:rsid w:val="00AE627A"/>
    <w:rsid w:val="00AE79C0"/>
    <w:rsid w:val="00AF11CD"/>
    <w:rsid w:val="00AF1D9B"/>
    <w:rsid w:val="00AF3B8A"/>
    <w:rsid w:val="00B06FF1"/>
    <w:rsid w:val="00B07A0E"/>
    <w:rsid w:val="00B10127"/>
    <w:rsid w:val="00B10551"/>
    <w:rsid w:val="00B1157A"/>
    <w:rsid w:val="00B15804"/>
    <w:rsid w:val="00B165C0"/>
    <w:rsid w:val="00B223BF"/>
    <w:rsid w:val="00B322E4"/>
    <w:rsid w:val="00B35E6B"/>
    <w:rsid w:val="00B379E7"/>
    <w:rsid w:val="00B403A3"/>
    <w:rsid w:val="00B4238E"/>
    <w:rsid w:val="00B46082"/>
    <w:rsid w:val="00B57446"/>
    <w:rsid w:val="00B6373F"/>
    <w:rsid w:val="00B63AF8"/>
    <w:rsid w:val="00B660F7"/>
    <w:rsid w:val="00B677A0"/>
    <w:rsid w:val="00B7152A"/>
    <w:rsid w:val="00B851EC"/>
    <w:rsid w:val="00B8791F"/>
    <w:rsid w:val="00B93CF6"/>
    <w:rsid w:val="00B9745A"/>
    <w:rsid w:val="00B9753B"/>
    <w:rsid w:val="00BA00D6"/>
    <w:rsid w:val="00BA0B91"/>
    <w:rsid w:val="00BA1FAD"/>
    <w:rsid w:val="00BA291E"/>
    <w:rsid w:val="00BA328D"/>
    <w:rsid w:val="00BA3D12"/>
    <w:rsid w:val="00BA713B"/>
    <w:rsid w:val="00BB1AD1"/>
    <w:rsid w:val="00BB1CBD"/>
    <w:rsid w:val="00BB485D"/>
    <w:rsid w:val="00BB5454"/>
    <w:rsid w:val="00BB6ACC"/>
    <w:rsid w:val="00BC464D"/>
    <w:rsid w:val="00BC4941"/>
    <w:rsid w:val="00BD05E2"/>
    <w:rsid w:val="00BD31DE"/>
    <w:rsid w:val="00BD49C3"/>
    <w:rsid w:val="00BD4FF6"/>
    <w:rsid w:val="00BD6187"/>
    <w:rsid w:val="00BE358C"/>
    <w:rsid w:val="00BE3C8C"/>
    <w:rsid w:val="00BE4F21"/>
    <w:rsid w:val="00BF29F6"/>
    <w:rsid w:val="00BF321E"/>
    <w:rsid w:val="00BF441D"/>
    <w:rsid w:val="00BF4BB5"/>
    <w:rsid w:val="00BF5C50"/>
    <w:rsid w:val="00BF6A11"/>
    <w:rsid w:val="00BF76EB"/>
    <w:rsid w:val="00C01294"/>
    <w:rsid w:val="00C04D37"/>
    <w:rsid w:val="00C11716"/>
    <w:rsid w:val="00C13152"/>
    <w:rsid w:val="00C13B3B"/>
    <w:rsid w:val="00C1400B"/>
    <w:rsid w:val="00C14C1C"/>
    <w:rsid w:val="00C2036A"/>
    <w:rsid w:val="00C2226C"/>
    <w:rsid w:val="00C26E71"/>
    <w:rsid w:val="00C303B1"/>
    <w:rsid w:val="00C34CE4"/>
    <w:rsid w:val="00C41F87"/>
    <w:rsid w:val="00C455BB"/>
    <w:rsid w:val="00C47B3C"/>
    <w:rsid w:val="00C54B70"/>
    <w:rsid w:val="00C56018"/>
    <w:rsid w:val="00C56525"/>
    <w:rsid w:val="00C57947"/>
    <w:rsid w:val="00C61E11"/>
    <w:rsid w:val="00C625C2"/>
    <w:rsid w:val="00C62E2E"/>
    <w:rsid w:val="00C632A0"/>
    <w:rsid w:val="00C71241"/>
    <w:rsid w:val="00C80533"/>
    <w:rsid w:val="00C830EB"/>
    <w:rsid w:val="00C836FD"/>
    <w:rsid w:val="00C86AAC"/>
    <w:rsid w:val="00C91E53"/>
    <w:rsid w:val="00C929C7"/>
    <w:rsid w:val="00C92D78"/>
    <w:rsid w:val="00C9409C"/>
    <w:rsid w:val="00C9578E"/>
    <w:rsid w:val="00C961A0"/>
    <w:rsid w:val="00C97E28"/>
    <w:rsid w:val="00CA3E41"/>
    <w:rsid w:val="00CA72B9"/>
    <w:rsid w:val="00CA76AD"/>
    <w:rsid w:val="00CC2D2A"/>
    <w:rsid w:val="00CD3332"/>
    <w:rsid w:val="00CD3921"/>
    <w:rsid w:val="00CE42B1"/>
    <w:rsid w:val="00CE5232"/>
    <w:rsid w:val="00CF0A0A"/>
    <w:rsid w:val="00CF353F"/>
    <w:rsid w:val="00CF484D"/>
    <w:rsid w:val="00CF5E99"/>
    <w:rsid w:val="00D0510B"/>
    <w:rsid w:val="00D11482"/>
    <w:rsid w:val="00D12791"/>
    <w:rsid w:val="00D14109"/>
    <w:rsid w:val="00D15133"/>
    <w:rsid w:val="00D23A95"/>
    <w:rsid w:val="00D3064D"/>
    <w:rsid w:val="00D352C5"/>
    <w:rsid w:val="00D35338"/>
    <w:rsid w:val="00D357C0"/>
    <w:rsid w:val="00D35C3E"/>
    <w:rsid w:val="00D43BF5"/>
    <w:rsid w:val="00D52C7C"/>
    <w:rsid w:val="00D546D5"/>
    <w:rsid w:val="00D54A94"/>
    <w:rsid w:val="00D57193"/>
    <w:rsid w:val="00D64551"/>
    <w:rsid w:val="00D6553D"/>
    <w:rsid w:val="00D71E42"/>
    <w:rsid w:val="00D73274"/>
    <w:rsid w:val="00D74C08"/>
    <w:rsid w:val="00D75112"/>
    <w:rsid w:val="00D822D6"/>
    <w:rsid w:val="00D83B81"/>
    <w:rsid w:val="00D85E01"/>
    <w:rsid w:val="00D86ECF"/>
    <w:rsid w:val="00D94600"/>
    <w:rsid w:val="00D946D2"/>
    <w:rsid w:val="00DB31D1"/>
    <w:rsid w:val="00DB37BF"/>
    <w:rsid w:val="00DC1739"/>
    <w:rsid w:val="00DC1E67"/>
    <w:rsid w:val="00DC79EF"/>
    <w:rsid w:val="00DC7F71"/>
    <w:rsid w:val="00DD021F"/>
    <w:rsid w:val="00DD06F1"/>
    <w:rsid w:val="00DD30C1"/>
    <w:rsid w:val="00DD52AC"/>
    <w:rsid w:val="00DE4A8E"/>
    <w:rsid w:val="00DE4B7F"/>
    <w:rsid w:val="00DE4D97"/>
    <w:rsid w:val="00DE5D97"/>
    <w:rsid w:val="00DE7310"/>
    <w:rsid w:val="00DF12B4"/>
    <w:rsid w:val="00DF3686"/>
    <w:rsid w:val="00DF63BD"/>
    <w:rsid w:val="00E009E5"/>
    <w:rsid w:val="00E055D2"/>
    <w:rsid w:val="00E05897"/>
    <w:rsid w:val="00E060A3"/>
    <w:rsid w:val="00E066EF"/>
    <w:rsid w:val="00E2582A"/>
    <w:rsid w:val="00E306A2"/>
    <w:rsid w:val="00E3610A"/>
    <w:rsid w:val="00E436CA"/>
    <w:rsid w:val="00E5424F"/>
    <w:rsid w:val="00E548BC"/>
    <w:rsid w:val="00E55361"/>
    <w:rsid w:val="00E60611"/>
    <w:rsid w:val="00E62158"/>
    <w:rsid w:val="00E6485F"/>
    <w:rsid w:val="00E6622D"/>
    <w:rsid w:val="00E743E3"/>
    <w:rsid w:val="00E74739"/>
    <w:rsid w:val="00E74912"/>
    <w:rsid w:val="00E760C8"/>
    <w:rsid w:val="00E76A30"/>
    <w:rsid w:val="00E770CA"/>
    <w:rsid w:val="00E850E1"/>
    <w:rsid w:val="00E85802"/>
    <w:rsid w:val="00E87714"/>
    <w:rsid w:val="00E926AF"/>
    <w:rsid w:val="00E96915"/>
    <w:rsid w:val="00E970D2"/>
    <w:rsid w:val="00EA1FB3"/>
    <w:rsid w:val="00EA22F7"/>
    <w:rsid w:val="00EA718A"/>
    <w:rsid w:val="00EA75A2"/>
    <w:rsid w:val="00EA7F6B"/>
    <w:rsid w:val="00EB49BF"/>
    <w:rsid w:val="00EB5AB8"/>
    <w:rsid w:val="00EB6095"/>
    <w:rsid w:val="00EB74C1"/>
    <w:rsid w:val="00ED021F"/>
    <w:rsid w:val="00ED0D3F"/>
    <w:rsid w:val="00ED1A0F"/>
    <w:rsid w:val="00EE149F"/>
    <w:rsid w:val="00EE2A03"/>
    <w:rsid w:val="00EE2F56"/>
    <w:rsid w:val="00EE5C25"/>
    <w:rsid w:val="00EE69A3"/>
    <w:rsid w:val="00EE7A52"/>
    <w:rsid w:val="00EF0CC3"/>
    <w:rsid w:val="00EF6E05"/>
    <w:rsid w:val="00F01B05"/>
    <w:rsid w:val="00F01E92"/>
    <w:rsid w:val="00F02170"/>
    <w:rsid w:val="00F023AB"/>
    <w:rsid w:val="00F03DA0"/>
    <w:rsid w:val="00F04DA9"/>
    <w:rsid w:val="00F13B3A"/>
    <w:rsid w:val="00F14591"/>
    <w:rsid w:val="00F14C45"/>
    <w:rsid w:val="00F20606"/>
    <w:rsid w:val="00F22C6E"/>
    <w:rsid w:val="00F26719"/>
    <w:rsid w:val="00F27A8F"/>
    <w:rsid w:val="00F30C6C"/>
    <w:rsid w:val="00F31D9E"/>
    <w:rsid w:val="00F3569B"/>
    <w:rsid w:val="00F37EF0"/>
    <w:rsid w:val="00F40C24"/>
    <w:rsid w:val="00F425B6"/>
    <w:rsid w:val="00F50EF4"/>
    <w:rsid w:val="00F602A1"/>
    <w:rsid w:val="00F719E7"/>
    <w:rsid w:val="00F82CDF"/>
    <w:rsid w:val="00F90274"/>
    <w:rsid w:val="00F92BD9"/>
    <w:rsid w:val="00F9377E"/>
    <w:rsid w:val="00F93E1F"/>
    <w:rsid w:val="00F970EF"/>
    <w:rsid w:val="00F979B5"/>
    <w:rsid w:val="00F97E54"/>
    <w:rsid w:val="00FA04B9"/>
    <w:rsid w:val="00FA3406"/>
    <w:rsid w:val="00FA7812"/>
    <w:rsid w:val="00FB1015"/>
    <w:rsid w:val="00FB519D"/>
    <w:rsid w:val="00FC1B56"/>
    <w:rsid w:val="00FC1D7C"/>
    <w:rsid w:val="00FC7392"/>
    <w:rsid w:val="00FD249E"/>
    <w:rsid w:val="00FD3547"/>
    <w:rsid w:val="00FD7255"/>
    <w:rsid w:val="00FE402A"/>
    <w:rsid w:val="00FE5E95"/>
    <w:rsid w:val="00FF0B74"/>
    <w:rsid w:val="00FF2823"/>
    <w:rsid w:val="00FF57EB"/>
    <w:rsid w:val="00FF6B88"/>
    <w:rsid w:val="00FF6B91"/>
    <w:rsid w:val="00FF7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8570"/>
  <w15:chartTrackingRefBased/>
  <w15:docId w15:val="{CB53B215-E910-4E6F-99EA-923CD2A3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4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4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4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4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4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4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4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4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4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4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4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4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4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4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4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4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4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42D"/>
    <w:rPr>
      <w:rFonts w:eastAsiaTheme="majorEastAsia" w:cstheme="majorBidi"/>
      <w:color w:val="272727" w:themeColor="text1" w:themeTint="D8"/>
    </w:rPr>
  </w:style>
  <w:style w:type="paragraph" w:styleId="Title">
    <w:name w:val="Title"/>
    <w:basedOn w:val="Normal"/>
    <w:next w:val="Normal"/>
    <w:link w:val="TitleChar"/>
    <w:uiPriority w:val="10"/>
    <w:qFormat/>
    <w:rsid w:val="003634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4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4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4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42D"/>
    <w:pPr>
      <w:spacing w:before="160"/>
      <w:jc w:val="center"/>
    </w:pPr>
    <w:rPr>
      <w:i/>
      <w:iCs/>
      <w:color w:val="404040" w:themeColor="text1" w:themeTint="BF"/>
    </w:rPr>
  </w:style>
  <w:style w:type="character" w:customStyle="1" w:styleId="QuoteChar">
    <w:name w:val="Quote Char"/>
    <w:basedOn w:val="DefaultParagraphFont"/>
    <w:link w:val="Quote"/>
    <w:uiPriority w:val="29"/>
    <w:rsid w:val="0036342D"/>
    <w:rPr>
      <w:i/>
      <w:iCs/>
      <w:color w:val="404040" w:themeColor="text1" w:themeTint="BF"/>
    </w:rPr>
  </w:style>
  <w:style w:type="paragraph" w:styleId="ListParagraph">
    <w:name w:val="List Paragraph"/>
    <w:basedOn w:val="Normal"/>
    <w:uiPriority w:val="34"/>
    <w:qFormat/>
    <w:rsid w:val="0036342D"/>
    <w:pPr>
      <w:ind w:left="720"/>
      <w:contextualSpacing/>
    </w:pPr>
  </w:style>
  <w:style w:type="character" w:styleId="IntenseEmphasis">
    <w:name w:val="Intense Emphasis"/>
    <w:basedOn w:val="DefaultParagraphFont"/>
    <w:uiPriority w:val="21"/>
    <w:qFormat/>
    <w:rsid w:val="0036342D"/>
    <w:rPr>
      <w:i/>
      <w:iCs/>
      <w:color w:val="0F4761" w:themeColor="accent1" w:themeShade="BF"/>
    </w:rPr>
  </w:style>
  <w:style w:type="paragraph" w:styleId="IntenseQuote">
    <w:name w:val="Intense Quote"/>
    <w:basedOn w:val="Normal"/>
    <w:next w:val="Normal"/>
    <w:link w:val="IntenseQuoteChar"/>
    <w:uiPriority w:val="30"/>
    <w:qFormat/>
    <w:rsid w:val="003634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42D"/>
    <w:rPr>
      <w:i/>
      <w:iCs/>
      <w:color w:val="0F4761" w:themeColor="accent1" w:themeShade="BF"/>
    </w:rPr>
  </w:style>
  <w:style w:type="character" w:styleId="IntenseReference">
    <w:name w:val="Intense Reference"/>
    <w:basedOn w:val="DefaultParagraphFont"/>
    <w:uiPriority w:val="32"/>
    <w:qFormat/>
    <w:rsid w:val="0036342D"/>
    <w:rPr>
      <w:b/>
      <w:bCs/>
      <w:smallCaps/>
      <w:color w:val="0F4761" w:themeColor="accent1" w:themeShade="BF"/>
      <w:spacing w:val="5"/>
    </w:rPr>
  </w:style>
  <w:style w:type="paragraph" w:styleId="FootnoteText">
    <w:name w:val="footnote text"/>
    <w:basedOn w:val="Normal"/>
    <w:link w:val="FootnoteTextChar"/>
    <w:uiPriority w:val="99"/>
    <w:unhideWhenUsed/>
    <w:rsid w:val="00602ADF"/>
    <w:pPr>
      <w:spacing w:after="0" w:line="240" w:lineRule="auto"/>
    </w:pPr>
    <w:rPr>
      <w:sz w:val="20"/>
      <w:szCs w:val="20"/>
    </w:rPr>
  </w:style>
  <w:style w:type="character" w:customStyle="1" w:styleId="FootnoteTextChar">
    <w:name w:val="Footnote Text Char"/>
    <w:basedOn w:val="DefaultParagraphFont"/>
    <w:link w:val="FootnoteText"/>
    <w:uiPriority w:val="99"/>
    <w:rsid w:val="00602ADF"/>
    <w:rPr>
      <w:sz w:val="20"/>
      <w:szCs w:val="20"/>
    </w:rPr>
  </w:style>
  <w:style w:type="character" w:styleId="FootnoteReference">
    <w:name w:val="footnote reference"/>
    <w:basedOn w:val="DefaultParagraphFont"/>
    <w:uiPriority w:val="99"/>
    <w:semiHidden/>
    <w:unhideWhenUsed/>
    <w:rsid w:val="00602ADF"/>
    <w:rPr>
      <w:vertAlign w:val="superscript"/>
    </w:rPr>
  </w:style>
  <w:style w:type="character" w:styleId="Emphasis">
    <w:name w:val="Emphasis"/>
    <w:basedOn w:val="DefaultParagraphFont"/>
    <w:uiPriority w:val="20"/>
    <w:qFormat/>
    <w:rsid w:val="00602ADF"/>
    <w:rPr>
      <w:i/>
      <w:iCs/>
    </w:rPr>
  </w:style>
  <w:style w:type="paragraph" w:styleId="NormalWeb">
    <w:name w:val="Normal (Web)"/>
    <w:basedOn w:val="Normal"/>
    <w:uiPriority w:val="99"/>
    <w:unhideWhenUsed/>
    <w:rsid w:val="0081229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05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10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04E"/>
  </w:style>
  <w:style w:type="paragraph" w:styleId="Footer">
    <w:name w:val="footer"/>
    <w:basedOn w:val="Normal"/>
    <w:link w:val="FooterChar"/>
    <w:uiPriority w:val="99"/>
    <w:unhideWhenUsed/>
    <w:rsid w:val="00091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04E"/>
  </w:style>
  <w:style w:type="character" w:styleId="PlaceholderText">
    <w:name w:val="Placeholder Text"/>
    <w:basedOn w:val="DefaultParagraphFont"/>
    <w:uiPriority w:val="99"/>
    <w:semiHidden/>
    <w:rsid w:val="000C37F1"/>
    <w:rPr>
      <w:color w:val="666666"/>
    </w:rPr>
  </w:style>
  <w:style w:type="character" w:styleId="Hyperlink">
    <w:name w:val="Hyperlink"/>
    <w:basedOn w:val="DefaultParagraphFont"/>
    <w:uiPriority w:val="99"/>
    <w:semiHidden/>
    <w:unhideWhenUsed/>
    <w:rsid w:val="006E0DD6"/>
    <w:rPr>
      <w:color w:val="0000FF"/>
      <w:u w:val="single"/>
    </w:rPr>
  </w:style>
  <w:style w:type="paragraph" w:styleId="Revision">
    <w:name w:val="Revision"/>
    <w:hidden/>
    <w:uiPriority w:val="99"/>
    <w:semiHidden/>
    <w:rsid w:val="006145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notes.xml.rels><?xml version="1.0" encoding="UTF-8" standalone="yes"?>
<Relationships xmlns="http://schemas.openxmlformats.org/package/2006/relationships"><Relationship Id="rId1" Type="http://schemas.openxmlformats.org/officeDocument/2006/relationships/hyperlink" Target="https://www.tate.org.uk/art/art-terms/c/composi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CE21A6-A927-4416-8526-B4DCD5E953D2}"/>
      </w:docPartPr>
      <w:docPartBody>
        <w:p w:rsidR="006358EC" w:rsidRDefault="006358EC">
          <w:r w:rsidRPr="006426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EC"/>
    <w:rsid w:val="002A3CD7"/>
    <w:rsid w:val="006358EC"/>
    <w:rsid w:val="006538B1"/>
    <w:rsid w:val="00A03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8E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34EF10-F18B-4CDD-97B6-D5A0CF822BC9}">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64338430485"/>
    <we:property name="MENDELEY_CITATIONS" value="[{&quot;citationID&quot;:&quot;MENDELEY_CITATION_d38f82bc-dc5f-46d7-81ac-e74d709440b6&quot;,&quot;properties&quot;:{&quot;noteIndex&quot;:0,&quot;mode&quot;:&quot;composite&quot;},&quot;isEdited&quot;:false,&quot;manualOverride&quot;:{&quot;isManuallyOverridden&quot;:false,&quot;citeprocText&quot;:&quot;Gayford and Brown (2024)&quot;,&quot;manualOverrideText&quot;:&quot;&quot;},&quot;citationTag&quot;:&quot;MENDELEY_CITATION_v3_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&quot;,&quot;citationItems&quot;:[{&quot;id&quot;:&quot;2c4eb888-4332-331b-baf2-91959e4cf0b6&quot;,&quot;itemData&quot;:{&quot;type&quot;:&quot;book&quot;,&quot;id&quot;:&quot;2c4eb888-4332-331b-baf2-91959e4cf0b6&quot;,&quot;title&quot;:&quot;How painting happens : (and why it matters)&quot;,&quot;author&quot;:[{&quot;family&quot;:&quot;Gayford&quot;,&quot;given&quot;:&quot;Martin.&quot;,&quot;parse-names&quot;:false,&quot;dropping-particle&quot;:&quot;&quot;,&quot;non-dropping-particle&quot;:&quot;&quot;},{&quot;family&quot;:&quot;Brown&quot;,&quot;given&quot;:&quot;Andrew.&quot;,&quot;parse-names&quot;:false,&quot;dropping-particle&quot;:&quot;&quot;,&quot;non-dropping-particle&quot;:&quot;&quot;}],&quot;ISBN&quot;:&quot;9780500027424&quot;,&quot;issued&quot;:{&quot;date-parts&quot;:[[2024]]},&quot;number-of-pages&quot;:&quot;384&quot;,&quot;abstract&quot;:&quot;Edited and designed by Andrew Brown.--from title page verso. \&quot;Painting is an almost inconceivably ancient activity that remains vigorously alive in the twenty-first century. Every successful painting creates a new world, which we inhabit for as long as we care to look at it. Paintings can incorporate profound ideas and paradoxes that can be grasped without words. For those who dedicate themselves to it, the art of painting can become an all-consuming, lifelong obsession. It is a subject on which painters themselves are often the most incisive commentators. Martin Gayford's riveting and richly illustrated book deftly brings together numerous artists' voices, past and present. It draws on a trove of conversations conducted over more than three decades with artists including Frank Auerbach, Gillian Ayres, Frank Bowling, Cecily Brown, Peter Doig, Lucian Freud, Katharina Fritsch, David Hockney, Claudette Johnson, R. B. Kitaj, Lee Ufan, Paula Rego, Gerhard Richter, Bridget Riley, Jenny Saville, Frank Stella, Luc Tuymans, Zeng Fanzhi, and many more. Here too is Vincent van Gogh on Rembrandt, John Constable on Titian, Francis Bacon on Belázquez, Lee Krasner on Pollock, and Jean-Michel Basquiat on Picasso. We hear the personal reflections of these artists on their chosen medium; how and why they paint; how they came to the practice; the influence of fellow painters; and how they find creative sustenance and inspiration in their art. How Painting Happens crosses the centuries to give us a wealth of insights into the endlessly compelling phenomenon of painters and painting.\&quot;--from the inside front flap. Introduction -- Starting, Finishing, and Carrying On: Starting ; The Will to Paint ; Singing better ; Good and bad, and how and why ; It's so hard to finish -- Material Matters: Underneath the paint ; Ruben's recipes ; The Brush dipping in the paint ; Marks of the hand ; Flesh and meat -- The Continent of Colour: The Red Studio ; Engulfed in colour ; Painting in the key of D ; Drawing in colour ; Reimagining the body -- Travelling in Time and Space: Crossing continents, painting maps ; El Greco travels through time ; Making space ; Painting history ; Taking flight with Miró -- The Camera, the Stage, and the Screen: The Brush and the lens ; Staging a painting ; Painting a collage ; Whose hand makes the mark? -- Feelings and Meanings: Good, bad, ugly ; What does a Rothko mean? ; Beyond anything for feeling ; Is the clue in the title? ; The World in a Picture, a Painting as a World -- Acknowledgments -- Notes to the text -- Further reading -- Picture credits -- Index.&quot;,&quot;publisher&quot;:&quot;Thames &amp; Hudson Ltd&quot;,&quot;container-title-short&quot;:&quot;&quot;},&quot;isTemporary&quot;:false,&quot;displayAs&quot;:&quot;composite&quot;,&quot;suppress-author&quot;:false,&quot;composite&quot;:true,&quot;author-only&quot;:false}]}]"/>
    <we:property name="MENDELEY_CITATIONS_LOCALE_CODE" value="&quot;en-US&quot;"/>
    <we:property name="MENDELEY_CITATIONS_STYLE" value="{&quot;id&quot;:&quot;https://www.zotero.org/styles/elsevier-harvard&quot;,&quot;title&quot;:&quot;Elsevier - Harvard (with title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24E8C-EE60-4485-9BB0-BD6E5E75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6439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Coombs</dc:creator>
  <cp:keywords/>
  <dc:description/>
  <cp:lastModifiedBy>Hilary Coombs</cp:lastModifiedBy>
  <cp:revision>141</cp:revision>
  <dcterms:created xsi:type="dcterms:W3CDTF">2025-12-01T13:09:00Z</dcterms:created>
  <dcterms:modified xsi:type="dcterms:W3CDTF">2025-12-01T16:27:00Z</dcterms:modified>
</cp:coreProperties>
</file>